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D5016C">
        <w:trPr>
          <w:trHeight w:val="702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740E22C4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6882920D" w14:textId="77777777" w:rsidR="00D5016C" w:rsidRDefault="00D5016C">
      <w:pPr>
        <w:rPr>
          <w:rFonts w:ascii="Garamond" w:hAnsi="Garamond"/>
          <w:sz w:val="24"/>
          <w:szCs w:val="24"/>
        </w:rPr>
      </w:pPr>
      <w:bookmarkStart w:id="0" w:name="_Hlk69205251"/>
      <w:r>
        <w:rPr>
          <w:rFonts w:ascii="Garamond" w:hAnsi="Garamond"/>
          <w:sz w:val="24"/>
          <w:szCs w:val="24"/>
        </w:rPr>
        <w:br w:type="page"/>
      </w:r>
    </w:p>
    <w:p w14:paraId="2C9CAFC1" w14:textId="5EF1421F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65E7338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77407E" w:rsidRPr="00AE068C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77407E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00D1BAC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0157A3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1C2C42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oraz art. 6 ust. 1 lit. c RODO, konieczność wypełnienia obowiązków prawnych wynikających z przepisów prawa.</w:t>
      </w:r>
      <w:bookmarkEnd w:id="1"/>
    </w:p>
    <w:p w14:paraId="0F5D8465" w14:textId="040231D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1C2C42">
        <w:rPr>
          <w:rFonts w:ascii="Garamond" w:hAnsi="Garamond"/>
          <w:sz w:val="24"/>
          <w:szCs w:val="24"/>
        </w:rPr>
        <w:t>.</w:t>
      </w:r>
    </w:p>
    <w:p w14:paraId="11ACCFB7" w14:textId="41403E86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1C2C42" w:rsidRPr="002C09AA">
        <w:rPr>
          <w:rFonts w:ascii="Garamond" w:hAnsi="Garamond"/>
          <w:sz w:val="24"/>
          <w:szCs w:val="24"/>
        </w:rPr>
        <w:t>Administrator</w:t>
      </w:r>
      <w:r w:rsidR="001C2C42">
        <w:rPr>
          <w:rFonts w:ascii="Garamond" w:hAnsi="Garamond"/>
          <w:sz w:val="24"/>
          <w:szCs w:val="24"/>
        </w:rPr>
        <w:t>a</w:t>
      </w:r>
      <w:r w:rsidR="001C2C42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7C065A2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870A53" w:rsidRPr="00A62816">
        <w:rPr>
          <w:rFonts w:ascii="Garamond" w:hAnsi="Garamond"/>
          <w:sz w:val="24"/>
          <w:szCs w:val="24"/>
        </w:rPr>
        <w:t>Instrukcj</w:t>
      </w:r>
      <w:r w:rsidR="00870A53">
        <w:rPr>
          <w:rFonts w:ascii="Garamond" w:hAnsi="Garamond"/>
          <w:sz w:val="24"/>
          <w:szCs w:val="24"/>
        </w:rPr>
        <w:t>e</w:t>
      </w:r>
      <w:bookmarkStart w:id="2" w:name="_GoBack"/>
      <w:r w:rsidR="00870A53" w:rsidRPr="00A62816">
        <w:rPr>
          <w:rFonts w:ascii="Garamond" w:hAnsi="Garamond"/>
          <w:sz w:val="24"/>
          <w:szCs w:val="24"/>
        </w:rPr>
        <w:t xml:space="preserve"> kancelaryjną i Jednolity Rzeczowy Wykaz Akt, </w:t>
      </w:r>
      <w:bookmarkEnd w:id="2"/>
      <w:r w:rsidRPr="002C09AA">
        <w:rPr>
          <w:rFonts w:ascii="Garamond" w:hAnsi="Garamond"/>
          <w:sz w:val="24"/>
          <w:szCs w:val="24"/>
        </w:rPr>
        <w:t>przedawnienia ewentualnych roszczeń.</w:t>
      </w:r>
    </w:p>
    <w:p w14:paraId="45FEF572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prawo do żądania od Administratora dostępu do swoich danych osobowych, ich sprostowania, usunięcia lub ograniczenia przetwarzania, a także prawo do przenoszenia danych. 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0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74E7" w14:textId="77777777" w:rsidR="00D03F2C" w:rsidRDefault="00D03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69CF7" w14:textId="77777777" w:rsidR="00D03F2C" w:rsidRDefault="00D03F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82167" w14:textId="77777777" w:rsidR="00D03F2C" w:rsidRDefault="00D0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5D7B" w14:textId="77777777" w:rsidR="00D03F2C" w:rsidRDefault="00D03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32402411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DC5266">
      <w:rPr>
        <w:rFonts w:ascii="Garamond" w:eastAsia="Calibri" w:hAnsi="Garamond" w:cs="Times New Roman"/>
        <w:noProof/>
        <w:sz w:val="24"/>
        <w:szCs w:val="24"/>
        <w:lang w:eastAsia="pl-PL"/>
      </w:rPr>
      <w:t>9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B1B59" w14:textId="77777777" w:rsidR="00D03F2C" w:rsidRDefault="00D03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157A3"/>
    <w:rsid w:val="00161ECE"/>
    <w:rsid w:val="00176841"/>
    <w:rsid w:val="001A34DA"/>
    <w:rsid w:val="001C2C42"/>
    <w:rsid w:val="001D00D9"/>
    <w:rsid w:val="00253C08"/>
    <w:rsid w:val="002564BE"/>
    <w:rsid w:val="002766A1"/>
    <w:rsid w:val="002A2FF4"/>
    <w:rsid w:val="002B7B24"/>
    <w:rsid w:val="002C09AA"/>
    <w:rsid w:val="002C235F"/>
    <w:rsid w:val="002E3819"/>
    <w:rsid w:val="002F19FF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53599"/>
    <w:rsid w:val="004A7989"/>
    <w:rsid w:val="004D704F"/>
    <w:rsid w:val="005019B2"/>
    <w:rsid w:val="00522EA3"/>
    <w:rsid w:val="005357D9"/>
    <w:rsid w:val="005410A4"/>
    <w:rsid w:val="005A42A8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7407E"/>
    <w:rsid w:val="007817FA"/>
    <w:rsid w:val="008358DA"/>
    <w:rsid w:val="008437E1"/>
    <w:rsid w:val="00857206"/>
    <w:rsid w:val="00870A53"/>
    <w:rsid w:val="00876355"/>
    <w:rsid w:val="008B376D"/>
    <w:rsid w:val="008C1550"/>
    <w:rsid w:val="00944911"/>
    <w:rsid w:val="00946B54"/>
    <w:rsid w:val="009C33E4"/>
    <w:rsid w:val="009D5911"/>
    <w:rsid w:val="009E4E75"/>
    <w:rsid w:val="00A21FD1"/>
    <w:rsid w:val="00A32A80"/>
    <w:rsid w:val="00A368EF"/>
    <w:rsid w:val="00A62816"/>
    <w:rsid w:val="00A85201"/>
    <w:rsid w:val="00A86C1D"/>
    <w:rsid w:val="00B10096"/>
    <w:rsid w:val="00B94E1C"/>
    <w:rsid w:val="00BD208A"/>
    <w:rsid w:val="00C54742"/>
    <w:rsid w:val="00CD157A"/>
    <w:rsid w:val="00CD4611"/>
    <w:rsid w:val="00CF18D6"/>
    <w:rsid w:val="00D03F2C"/>
    <w:rsid w:val="00D051BD"/>
    <w:rsid w:val="00D5016C"/>
    <w:rsid w:val="00D6290E"/>
    <w:rsid w:val="00DC3060"/>
    <w:rsid w:val="00DC5266"/>
    <w:rsid w:val="00E13A53"/>
    <w:rsid w:val="00E15FAD"/>
    <w:rsid w:val="00E20D69"/>
    <w:rsid w:val="00E53B8E"/>
    <w:rsid w:val="00E84EDD"/>
    <w:rsid w:val="00EC3F4E"/>
    <w:rsid w:val="00F36470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740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F5F0F-4722-4919-B388-1A52A139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Magdalena Malinowska-Wójcicka</cp:lastModifiedBy>
  <cp:revision>23</cp:revision>
  <dcterms:created xsi:type="dcterms:W3CDTF">2021-04-14T12:19:00Z</dcterms:created>
  <dcterms:modified xsi:type="dcterms:W3CDTF">2022-06-22T12:52:00Z</dcterms:modified>
</cp:coreProperties>
</file>