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AD08F" w14:textId="1917DF35" w:rsidR="007926AB" w:rsidRPr="007367BD" w:rsidRDefault="007926AB" w:rsidP="00F75AB3">
      <w:pPr>
        <w:spacing w:before="120" w:after="120" w:line="360" w:lineRule="exact"/>
        <w:jc w:val="center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7367BD">
        <w:rPr>
          <w:rFonts w:ascii="Garamond" w:eastAsia="Times New Roman" w:hAnsi="Garamond" w:cs="Arial"/>
          <w:b/>
          <w:sz w:val="24"/>
          <w:szCs w:val="24"/>
          <w:lang w:eastAsia="pl-PL"/>
        </w:rPr>
        <w:t>Klauzula informacyjna</w:t>
      </w:r>
    </w:p>
    <w:p w14:paraId="048FC3A3" w14:textId="77777777" w:rsidR="007926AB" w:rsidRPr="007367BD" w:rsidRDefault="007926AB" w:rsidP="00F75AB3">
      <w:pPr>
        <w:spacing w:before="120" w:after="120" w:line="360" w:lineRule="exact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1AD6C52F" w14:textId="14F1169B" w:rsidR="007926AB" w:rsidRPr="007367BD" w:rsidRDefault="007926AB" w:rsidP="00F75AB3">
      <w:pPr>
        <w:spacing w:before="120" w:after="120" w:line="360" w:lineRule="exact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bookmarkStart w:id="0" w:name="_Hlk59531252"/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Zgodnie z art. 14 rozporządzenia Parlamentu Europejskiego i Rady (UE) 2016/679 z</w:t>
      </w:r>
      <w:r w:rsidR="00F75AB3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dnia</w:t>
      </w:r>
      <w:r w:rsidR="00F75AB3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27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3C57516C" w14:textId="77777777" w:rsidR="007926AB" w:rsidRPr="007367BD" w:rsidRDefault="007926AB" w:rsidP="00F75AB3">
      <w:pPr>
        <w:spacing w:before="120" w:after="120" w:line="360" w:lineRule="exact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1A4024C5" w14:textId="77777777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Administratorem danych osobowych osób fizycznych reprezentujących Beneficjenta oraz osób fizycznych wskazanych przez niego do kontaktu</w:t>
      </w:r>
      <w:r w:rsidR="007D123E">
        <w:rPr>
          <w:rFonts w:ascii="Garamond" w:eastAsia="Times New Roman" w:hAnsi="Garamond" w:cs="Arial"/>
          <w:sz w:val="24"/>
          <w:szCs w:val="24"/>
          <w:lang w:eastAsia="pl-PL"/>
        </w:rPr>
        <w:t xml:space="preserve"> oraz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 realizacji przedmiotu Umowy jest Agencj</w:t>
      </w:r>
      <w:r w:rsidR="007C2D1A">
        <w:rPr>
          <w:rFonts w:ascii="Garamond" w:eastAsia="Times New Roman" w:hAnsi="Garamond" w:cs="Arial"/>
          <w:sz w:val="24"/>
          <w:szCs w:val="24"/>
          <w:lang w:eastAsia="pl-PL"/>
        </w:rPr>
        <w:t>a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 xml:space="preserve"> Badań Medycznych, przy ul. </w:t>
      </w:r>
      <w:r w:rsidR="00D74F55">
        <w:rPr>
          <w:rFonts w:ascii="Garamond" w:eastAsia="Times New Roman" w:hAnsi="Garamond" w:cs="Arial"/>
          <w:sz w:val="24"/>
          <w:szCs w:val="24"/>
          <w:lang w:eastAsia="pl-PL"/>
        </w:rPr>
        <w:t xml:space="preserve">Stanisława </w:t>
      </w:r>
      <w:r w:rsidRPr="007367BD">
        <w:rPr>
          <w:rFonts w:ascii="Garamond" w:eastAsia="Times New Roman" w:hAnsi="Garamond" w:cs="Arial"/>
          <w:sz w:val="24"/>
          <w:szCs w:val="24"/>
          <w:lang w:eastAsia="pl-PL"/>
        </w:rPr>
        <w:t>Moniuszki 1A, 00-014 Warszawa.</w:t>
      </w:r>
    </w:p>
    <w:p w14:paraId="21518D9A" w14:textId="77777777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Jeżeli Administrator nie uzyskał danych osobowych bezpośrednio od osób, o których mowa w</w:t>
      </w:r>
      <w:r w:rsidR="00A274EC" w:rsidRP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ust. 1, informujemy, że dane osobowe zostały uzyskane od Beneficjenta.</w:t>
      </w:r>
    </w:p>
    <w:p w14:paraId="380F46C8" w14:textId="2C5A6B47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Administrator powołał Inspektora Ochrony Danych, z którym można się skontaktować pod</w:t>
      </w:r>
      <w:r w:rsidR="00F75AB3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adresem email - </w:t>
      </w:r>
      <w:hyperlink r:id="rId5" w:history="1">
        <w:r w:rsidR="00A274EC" w:rsidRPr="0061072F">
          <w:rPr>
            <w:rFonts w:ascii="Garamond" w:eastAsia="Times New Roman" w:hAnsi="Garamond" w:cs="Arial"/>
            <w:sz w:val="24"/>
            <w:szCs w:val="24"/>
            <w:lang w:eastAsia="pl-PL"/>
          </w:rPr>
          <w:t>iod@abm.gov.pl</w:t>
        </w:r>
      </w:hyperlink>
      <w:r w:rsidR="005517D7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. </w:t>
      </w:r>
    </w:p>
    <w:p w14:paraId="3CDCC148" w14:textId="48476EDE" w:rsidR="007926AB" w:rsidRP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osobowe osób, o których mowa w ust. 1, będą przetwarzane przez Administratora na</w:t>
      </w:r>
      <w:r w:rsidR="00F75AB3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podstawie: </w:t>
      </w:r>
    </w:p>
    <w:p w14:paraId="6D87528C" w14:textId="5DC37CC2" w:rsidR="00A274EC" w:rsidRDefault="007926AB" w:rsidP="00F75AB3">
      <w:pPr>
        <w:pStyle w:val="Akapitzlist"/>
        <w:numPr>
          <w:ilvl w:val="0"/>
          <w:numId w:val="4"/>
        </w:numPr>
        <w:spacing w:before="120" w:after="120" w:line="360" w:lineRule="exact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e RODO, przetwarzanie jest niezbędne do wykonania zadania realizowanego w</w:t>
      </w:r>
      <w:r w:rsidR="00395794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interesie publicznym lub sprawowania władzy publicznej powierzonej Administratorowi</w:t>
      </w:r>
      <w:r w:rsidR="00B45A2A">
        <w:rPr>
          <w:rFonts w:ascii="Garamond" w:eastAsia="Times New Roman" w:hAnsi="Garamond" w:cs="Arial"/>
          <w:sz w:val="24"/>
          <w:szCs w:val="24"/>
          <w:lang w:eastAsia="pl-PL"/>
        </w:rPr>
        <w:t>;</w:t>
      </w:r>
    </w:p>
    <w:p w14:paraId="4B5547BD" w14:textId="0D0570DF" w:rsidR="00A274EC" w:rsidRDefault="007926AB" w:rsidP="00F75AB3">
      <w:pPr>
        <w:pStyle w:val="Akapitzlist"/>
        <w:numPr>
          <w:ilvl w:val="0"/>
          <w:numId w:val="4"/>
        </w:numPr>
        <w:spacing w:before="120" w:after="120" w:line="360" w:lineRule="exact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art. 6 ust. 1 lit. c RODO, konieczność wypełnienia obowiązków prawnych wynikających z</w:t>
      </w:r>
      <w:r w:rsidR="00DE655D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przepisów prawa</w:t>
      </w:r>
      <w:r w:rsidR="00B45A2A">
        <w:rPr>
          <w:rFonts w:ascii="Garamond" w:eastAsia="Times New Roman" w:hAnsi="Garamond" w:cs="Arial"/>
          <w:sz w:val="24"/>
          <w:szCs w:val="24"/>
          <w:lang w:eastAsia="pl-PL"/>
        </w:rPr>
        <w:t>;</w:t>
      </w:r>
    </w:p>
    <w:p w14:paraId="1BD6E7E6" w14:textId="39674F2D" w:rsidR="00241412" w:rsidRPr="00A274EC" w:rsidRDefault="007926AB" w:rsidP="00F75AB3">
      <w:pPr>
        <w:pStyle w:val="Akapitzlist"/>
        <w:numPr>
          <w:ilvl w:val="0"/>
          <w:numId w:val="4"/>
        </w:numPr>
        <w:spacing w:before="120" w:after="120" w:line="360" w:lineRule="exact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art. 6 ust. 1 lit. f RODO, </w:t>
      </w:r>
      <w:r w:rsidR="00241412" w:rsidRPr="00A274EC">
        <w:rPr>
          <w:rFonts w:ascii="Garamond" w:eastAsia="Times New Roman" w:hAnsi="Garamond" w:cs="Arial"/>
          <w:sz w:val="24"/>
          <w:szCs w:val="24"/>
          <w:lang w:eastAsia="pl-PL"/>
        </w:rPr>
        <w:t>ochrony prawnie uzasadnionego interesu Administratora, czyli ewentualnego ustalenia, dochodzenia lub obrony przed roszczeniami.</w:t>
      </w:r>
    </w:p>
    <w:p w14:paraId="06FA5741" w14:textId="77777777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obejmują kategorię danych identyfikacyjnych i kontaktowych</w:t>
      </w:r>
      <w:r w:rsidR="0080706C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bookmarkStart w:id="1" w:name="_Hlk97702662"/>
      <w:r w:rsidR="0080706C" w:rsidRPr="00A274EC">
        <w:rPr>
          <w:rFonts w:ascii="Garamond" w:eastAsia="Times New Roman" w:hAnsi="Garamond" w:cs="Arial"/>
          <w:sz w:val="24"/>
          <w:szCs w:val="24"/>
          <w:lang w:eastAsia="pl-PL"/>
        </w:rPr>
        <w:t>wskazanych w Umowie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.</w:t>
      </w:r>
      <w:bookmarkEnd w:id="1"/>
    </w:p>
    <w:p w14:paraId="5401BE9F" w14:textId="0E0106A2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osobowe, o których mowa w ust. 1 mogą być przekazywane do organów publicznych i</w:t>
      </w:r>
      <w:r w:rsidR="00F75AB3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urzędów państwowych lub innych podmiotów upoważnionych na podstawie przepisów prawa lub wykonujących zadania realizowane w interesie publicznym lub w ramach sprawowania władzy publicznej. Dane osobowe mogą zostać </w:t>
      </w:r>
      <w:r w:rsidR="00DE6C01" w:rsidRPr="00A274EC">
        <w:rPr>
          <w:rFonts w:ascii="Garamond" w:eastAsia="Times New Roman" w:hAnsi="Garamond" w:cs="Arial"/>
          <w:sz w:val="24"/>
          <w:szCs w:val="24"/>
          <w:lang w:eastAsia="pl-PL"/>
        </w:rPr>
        <w:t>przekazane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przez</w:t>
      </w:r>
      <w:r w:rsidR="00F75AB3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="00DE655D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Administratora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podmiotom, które obsługują systemy teleinformatyczne Administratora oraz udostępniające narzędzia teleinformatyczne lub świadczące dla Administratora usługi </w:t>
      </w:r>
      <w:r w:rsidR="007C2D1A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pocztowe, chmurowe, niszczenia dokumentacji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czy hostingu. </w:t>
      </w:r>
    </w:p>
    <w:p w14:paraId="794500B1" w14:textId="6F02AEAD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> 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rozumieniu RODO. </w:t>
      </w:r>
    </w:p>
    <w:p w14:paraId="3CD15584" w14:textId="7ACA1C6C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lastRenderedPageBreak/>
        <w:t>Dane osobowe osób, o których mowa w ust. 1, będą przetwarzane przez okres wykonania Umowy, chyba że niezbędny będzie dłuższy okres przetwarzania np.: z uwagi na obowiązki archiwizacyjne</w:t>
      </w:r>
      <w:r w:rsidR="00013091">
        <w:rPr>
          <w:rFonts w:ascii="Garamond" w:eastAsia="Times New Roman" w:hAnsi="Garamond" w:cs="Arial"/>
          <w:sz w:val="24"/>
          <w:szCs w:val="24"/>
          <w:lang w:eastAsia="pl-PL"/>
        </w:rPr>
        <w:t xml:space="preserve">, </w:t>
      </w:r>
      <w:r w:rsidR="007A367D" w:rsidRPr="00612D3D">
        <w:rPr>
          <w:rFonts w:ascii="Garamond" w:eastAsia="Times New Roman" w:hAnsi="Garamond" w:cs="Arial"/>
          <w:sz w:val="24"/>
          <w:szCs w:val="24"/>
          <w:lang w:eastAsia="pl-PL"/>
        </w:rPr>
        <w:t>Instrukcj</w:t>
      </w:r>
      <w:r w:rsidR="00013091">
        <w:rPr>
          <w:rFonts w:ascii="Garamond" w:eastAsia="Times New Roman" w:hAnsi="Garamond" w:cs="Arial"/>
          <w:sz w:val="24"/>
          <w:szCs w:val="24"/>
          <w:lang w:eastAsia="pl-PL"/>
        </w:rPr>
        <w:t>e</w:t>
      </w:r>
      <w:r w:rsidR="007A367D" w:rsidRPr="00612D3D">
        <w:rPr>
          <w:rFonts w:ascii="Garamond" w:eastAsia="Times New Roman" w:hAnsi="Garamond" w:cs="Arial"/>
          <w:sz w:val="24"/>
          <w:szCs w:val="24"/>
          <w:lang w:eastAsia="pl-PL"/>
        </w:rPr>
        <w:t xml:space="preserve"> kancelaryjną i Jednolity Rzeczow</w:t>
      </w:r>
      <w:r w:rsidR="00351F43">
        <w:rPr>
          <w:rFonts w:ascii="Garamond" w:eastAsia="Times New Roman" w:hAnsi="Garamond" w:cs="Arial"/>
          <w:sz w:val="24"/>
          <w:szCs w:val="24"/>
          <w:lang w:eastAsia="pl-PL"/>
        </w:rPr>
        <w:t>y</w:t>
      </w:r>
      <w:r w:rsidR="007A367D" w:rsidRPr="00612D3D">
        <w:rPr>
          <w:rFonts w:ascii="Garamond" w:eastAsia="Times New Roman" w:hAnsi="Garamond" w:cs="Arial"/>
          <w:sz w:val="24"/>
          <w:szCs w:val="24"/>
          <w:lang w:eastAsia="pl-PL"/>
        </w:rPr>
        <w:t xml:space="preserve"> Wykaz </w:t>
      </w:r>
      <w:proofErr w:type="gramStart"/>
      <w:r w:rsidR="007A367D" w:rsidRPr="00612D3D">
        <w:rPr>
          <w:rFonts w:ascii="Garamond" w:eastAsia="Times New Roman" w:hAnsi="Garamond" w:cs="Arial"/>
          <w:sz w:val="24"/>
          <w:szCs w:val="24"/>
          <w:lang w:eastAsia="pl-PL"/>
        </w:rPr>
        <w:t>Akt,</w:t>
      </w:r>
      <w:proofErr w:type="gramEnd"/>
      <w:r w:rsidR="007A367D" w:rsidRPr="00612D3D">
        <w:rPr>
          <w:rFonts w:ascii="Garamond" w:eastAsia="Times New Roman" w:hAnsi="Garamond" w:cs="Arial"/>
          <w:sz w:val="24"/>
          <w:szCs w:val="24"/>
          <w:lang w:eastAsia="pl-PL"/>
        </w:rPr>
        <w:t xml:space="preserve"> czy przedawnienia roszczeń</w:t>
      </w:r>
      <w:r w:rsidR="007A367D">
        <w:rPr>
          <w:rFonts w:ascii="Garamond" w:eastAsia="Times New Roman" w:hAnsi="Garamond" w:cs="Arial"/>
          <w:sz w:val="24"/>
          <w:szCs w:val="24"/>
          <w:lang w:eastAsia="pl-PL"/>
        </w:rPr>
        <w:t>.</w:t>
      </w:r>
    </w:p>
    <w:p w14:paraId="0C24B23E" w14:textId="0FF75D44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</w:t>
      </w:r>
      <w:r w:rsidR="000E3E6F">
        <w:rPr>
          <w:rFonts w:ascii="Garamond" w:eastAsia="Times New Roman" w:hAnsi="Garamond" w:cs="Arial"/>
          <w:sz w:val="24"/>
          <w:szCs w:val="24"/>
          <w:lang w:eastAsia="pl-PL"/>
        </w:rPr>
        <w:t>.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</w:p>
    <w:p w14:paraId="7A7329C4" w14:textId="77777777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Osobom, o których mowa w ust. 1 przysługuje również prawo do wniesienia sprzeciwu. </w:t>
      </w:r>
    </w:p>
    <w:p w14:paraId="0D2C7810" w14:textId="77777777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Osobom, o których mowa w ust. 1 przysługuje prawo wniesienia skargi do organu nadzorczego, tj. Prezesa Urzędu Ochrony Danych Osobowych. </w:t>
      </w:r>
    </w:p>
    <w:p w14:paraId="7DBAB3FC" w14:textId="11C8869D" w:rsid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Podanie danych osobowych, o których mowa w ust. 1, jest </w:t>
      </w:r>
      <w:r w:rsidR="009449CC">
        <w:rPr>
          <w:rFonts w:ascii="Garamond" w:eastAsia="Times New Roman" w:hAnsi="Garamond" w:cs="Arial"/>
          <w:sz w:val="24"/>
          <w:szCs w:val="24"/>
          <w:lang w:eastAsia="pl-PL"/>
        </w:rPr>
        <w:t>niezbędne</w:t>
      </w:r>
      <w:r w:rsidR="009449CC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do zawarcia Umowy. Odmowa podania danych osobowych skutkuje niemożnością zawarcia i realizacji Umowy. </w:t>
      </w:r>
      <w:r w:rsidR="002A5FB0" w:rsidRPr="00A274EC">
        <w:rPr>
          <w:rFonts w:ascii="Garamond" w:eastAsia="Times New Roman" w:hAnsi="Garamond" w:cs="Arial"/>
          <w:sz w:val="24"/>
          <w:szCs w:val="24"/>
          <w:lang w:eastAsia="pl-PL"/>
        </w:rPr>
        <w:t>Wniesienie żądania usunięcia lub ograniczenia przetwarzania może</w:t>
      </w:r>
      <w:r w:rsid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 </w:t>
      </w:r>
      <w:r w:rsidR="002A5FB0" w:rsidRPr="00A274EC">
        <w:rPr>
          <w:rFonts w:ascii="Garamond" w:eastAsia="Times New Roman" w:hAnsi="Garamond" w:cs="Arial"/>
          <w:sz w:val="24"/>
          <w:szCs w:val="24"/>
          <w:lang w:eastAsia="pl-PL"/>
        </w:rPr>
        <w:t>skutkować (według wyboru Administratora) rozwiązaniem Umowy z winy Beneficjenta. Wniesienie przez wyżej opisaną osobę fizyczną żądania skutkuje obowiązkiem Beneficjenta niezwłocznego wskazania innej osoby w jej miejsce.</w:t>
      </w:r>
    </w:p>
    <w:p w14:paraId="26A6AF15" w14:textId="15FF49B0" w:rsidR="007926AB" w:rsidRPr="00A274EC" w:rsidRDefault="007926AB" w:rsidP="00F75AB3">
      <w:pPr>
        <w:pStyle w:val="Akapitzlist"/>
        <w:numPr>
          <w:ilvl w:val="0"/>
          <w:numId w:val="1"/>
        </w:numPr>
        <w:spacing w:before="120" w:after="120" w:line="360" w:lineRule="exact"/>
        <w:ind w:left="426" w:hanging="284"/>
        <w:contextualSpacing w:val="0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A274EC">
        <w:rPr>
          <w:rFonts w:ascii="Garamond" w:eastAsia="Times New Roman" w:hAnsi="Garamond" w:cs="Arial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  <w:bookmarkEnd w:id="0"/>
    </w:p>
    <w:p w14:paraId="6397917E" w14:textId="77777777" w:rsidR="007926AB" w:rsidRPr="007367BD" w:rsidRDefault="007926AB" w:rsidP="00F75AB3">
      <w:pPr>
        <w:spacing w:before="120" w:after="120" w:line="360" w:lineRule="exact"/>
        <w:jc w:val="both"/>
        <w:rPr>
          <w:rFonts w:ascii="Garamond" w:hAnsi="Garamond" w:cs="Arial"/>
          <w:sz w:val="24"/>
          <w:szCs w:val="24"/>
        </w:rPr>
      </w:pPr>
    </w:p>
    <w:p w14:paraId="3DDB1A5B" w14:textId="77777777" w:rsidR="007926AB" w:rsidRPr="007367BD" w:rsidRDefault="007926AB" w:rsidP="00F75AB3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sectPr w:rsidR="007926AB" w:rsidRPr="0073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83C4A"/>
    <w:multiLevelType w:val="hybridMultilevel"/>
    <w:tmpl w:val="4C107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85EBF"/>
    <w:multiLevelType w:val="hybridMultilevel"/>
    <w:tmpl w:val="26EC9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F792D"/>
    <w:multiLevelType w:val="hybridMultilevel"/>
    <w:tmpl w:val="077212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 w16cid:durableId="1728989156">
    <w:abstractNumId w:val="1"/>
  </w:num>
  <w:num w:numId="2" w16cid:durableId="15736618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973840">
    <w:abstractNumId w:val="3"/>
  </w:num>
  <w:num w:numId="4" w16cid:durableId="1898320937">
    <w:abstractNumId w:val="2"/>
  </w:num>
  <w:num w:numId="5" w16cid:durableId="1015883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AB"/>
    <w:rsid w:val="00013091"/>
    <w:rsid w:val="000E3E6F"/>
    <w:rsid w:val="001006A2"/>
    <w:rsid w:val="0022250E"/>
    <w:rsid w:val="00241412"/>
    <w:rsid w:val="002A5FB0"/>
    <w:rsid w:val="0031475A"/>
    <w:rsid w:val="00351F43"/>
    <w:rsid w:val="00395794"/>
    <w:rsid w:val="005517D7"/>
    <w:rsid w:val="0061072F"/>
    <w:rsid w:val="00612D3D"/>
    <w:rsid w:val="00624782"/>
    <w:rsid w:val="007367BD"/>
    <w:rsid w:val="007926AB"/>
    <w:rsid w:val="007A367D"/>
    <w:rsid w:val="007C2D1A"/>
    <w:rsid w:val="007D123E"/>
    <w:rsid w:val="0080706C"/>
    <w:rsid w:val="008C13E3"/>
    <w:rsid w:val="009449CC"/>
    <w:rsid w:val="00A274EC"/>
    <w:rsid w:val="00A960B0"/>
    <w:rsid w:val="00AC7088"/>
    <w:rsid w:val="00B45A2A"/>
    <w:rsid w:val="00D74F55"/>
    <w:rsid w:val="00DE655D"/>
    <w:rsid w:val="00DE6C01"/>
    <w:rsid w:val="00DF74BE"/>
    <w:rsid w:val="00F30C2E"/>
    <w:rsid w:val="00F7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748F"/>
  <w15:chartTrackingRefBased/>
  <w15:docId w15:val="{1CBEE043-E38E-4DA1-A024-3253096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A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926AB"/>
    <w:pPr>
      <w:ind w:left="720"/>
      <w:contextualSpacing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C2D1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274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74E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abm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Łukasz Błoch</cp:lastModifiedBy>
  <cp:revision>20</cp:revision>
  <dcterms:created xsi:type="dcterms:W3CDTF">2022-03-09T05:26:00Z</dcterms:created>
  <dcterms:modified xsi:type="dcterms:W3CDTF">2023-05-16T05:50:00Z</dcterms:modified>
</cp:coreProperties>
</file>