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DF2C" w14:textId="529D7A26" w:rsidR="00892C34" w:rsidRDefault="00D70A7E" w:rsidP="0033607D">
      <w:pPr>
        <w:pStyle w:val="Teksttreci0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bidi="pl-PL"/>
        </w:rPr>
      </w:pPr>
      <w:bookmarkStart w:id="0" w:name="_Hlk161903505"/>
      <w:r w:rsidRPr="00D70A7E">
        <w:rPr>
          <w:rFonts w:asciiTheme="minorHAnsi" w:hAnsiTheme="minorHAnsi" w:cstheme="minorHAnsi"/>
          <w:b/>
          <w:sz w:val="28"/>
          <w:szCs w:val="28"/>
          <w:lang w:bidi="pl-PL"/>
        </w:rPr>
        <w:t>PROCEDURA</w:t>
      </w:r>
      <w:r>
        <w:rPr>
          <w:rFonts w:asciiTheme="minorHAnsi" w:hAnsiTheme="minorHAnsi" w:cstheme="minorHAnsi"/>
          <w:b/>
          <w:sz w:val="28"/>
          <w:szCs w:val="28"/>
          <w:lang w:bidi="pl-PL"/>
        </w:rPr>
        <w:t xml:space="preserve"> </w:t>
      </w:r>
      <w:r w:rsidRPr="00D70A7E">
        <w:rPr>
          <w:rFonts w:asciiTheme="minorHAnsi" w:hAnsiTheme="minorHAnsi" w:cstheme="minorHAnsi"/>
          <w:b/>
          <w:sz w:val="28"/>
          <w:szCs w:val="28"/>
          <w:lang w:bidi="pl-PL"/>
        </w:rPr>
        <w:t>POSTĘPOWANI</w:t>
      </w:r>
      <w:r>
        <w:rPr>
          <w:rFonts w:asciiTheme="minorHAnsi" w:hAnsiTheme="minorHAnsi" w:cstheme="minorHAnsi"/>
          <w:b/>
          <w:sz w:val="28"/>
          <w:szCs w:val="28"/>
          <w:lang w:bidi="pl-PL"/>
        </w:rPr>
        <w:t>A</w:t>
      </w:r>
      <w:r w:rsidRPr="00D70A7E">
        <w:rPr>
          <w:rFonts w:asciiTheme="minorHAnsi" w:hAnsiTheme="minorHAnsi" w:cstheme="minorHAnsi"/>
          <w:b/>
          <w:sz w:val="28"/>
          <w:szCs w:val="28"/>
          <w:lang w:bidi="pl-PL"/>
        </w:rPr>
        <w:t xml:space="preserve"> W PRZYPADKU WYSTĄPIENIA ZDARZENIA NIEPOŻĄDANEGO</w:t>
      </w:r>
      <w:r w:rsidR="001B3DB9">
        <w:rPr>
          <w:rFonts w:asciiTheme="minorHAnsi" w:hAnsiTheme="minorHAnsi" w:cstheme="minorHAnsi"/>
          <w:b/>
          <w:sz w:val="28"/>
          <w:szCs w:val="28"/>
          <w:lang w:bidi="pl-PL"/>
        </w:rPr>
        <w:t xml:space="preserve"> </w:t>
      </w:r>
      <w:r w:rsidR="001B3DB9">
        <w:rPr>
          <w:rFonts w:cstheme="minorHAnsi"/>
          <w:b/>
          <w:bCs/>
        </w:rPr>
        <w:t xml:space="preserve">– </w:t>
      </w:r>
      <w:r w:rsidRPr="00D70A7E">
        <w:rPr>
          <w:rFonts w:asciiTheme="minorHAnsi" w:hAnsiTheme="minorHAnsi" w:cstheme="minorHAnsi"/>
          <w:b/>
          <w:sz w:val="28"/>
          <w:szCs w:val="28"/>
          <w:lang w:bidi="pl-PL"/>
        </w:rPr>
        <w:t>ADVERSE EVENT MANAGEMENT</w:t>
      </w:r>
    </w:p>
    <w:p w14:paraId="1096B51F" w14:textId="77777777" w:rsidR="0033607D" w:rsidRPr="00591F8B" w:rsidRDefault="0033607D" w:rsidP="0033607D">
      <w:pPr>
        <w:pStyle w:val="Teksttreci0"/>
        <w:spacing w:line="276" w:lineRule="auto"/>
        <w:jc w:val="center"/>
        <w:rPr>
          <w:rFonts w:asciiTheme="minorHAnsi" w:hAnsiTheme="minorHAnsi" w:cstheme="minorHAnsi"/>
          <w:b/>
          <w:lang w:bidi="pl-PL"/>
        </w:rPr>
      </w:pPr>
    </w:p>
    <w:bookmarkEnd w:id="0"/>
    <w:p w14:paraId="672C8D4E" w14:textId="6B4F9B09" w:rsidR="00892C34" w:rsidRPr="00591F8B" w:rsidRDefault="00FF4C8A" w:rsidP="0033607D">
      <w:pPr>
        <w:pStyle w:val="Nagwek1"/>
        <w:numPr>
          <w:ilvl w:val="0"/>
          <w:numId w:val="27"/>
        </w:numPr>
        <w:ind w:left="426" w:hanging="42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>ZAKRES</w:t>
      </w:r>
      <w:r w:rsidR="00707E35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C2079C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I OBSZAR </w:t>
      </w:r>
      <w:r w:rsidR="00707E35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>PROCEDURY</w:t>
      </w:r>
    </w:p>
    <w:p w14:paraId="0928D391" w14:textId="492AC60A" w:rsidR="00D70A7E" w:rsidRPr="00591F8B" w:rsidRDefault="00D70A7E" w:rsidP="0033607D">
      <w:pPr>
        <w:pStyle w:val="Teksttreci0"/>
        <w:tabs>
          <w:tab w:val="left" w:pos="368"/>
        </w:tabs>
        <w:spacing w:after="520"/>
        <w:jc w:val="both"/>
        <w:rPr>
          <w:rFonts w:asciiTheme="minorHAnsi" w:hAnsiTheme="minorHAnsi" w:cstheme="minorHAnsi"/>
          <w:bCs/>
        </w:rPr>
      </w:pPr>
      <w:r w:rsidRPr="00591F8B">
        <w:rPr>
          <w:rStyle w:val="Teksttreci"/>
          <w:rFonts w:asciiTheme="minorHAnsi" w:hAnsiTheme="minorHAnsi" w:cstheme="minorHAnsi"/>
          <w:bCs/>
        </w:rPr>
        <w:t>C</w:t>
      </w:r>
      <w:r w:rsidR="000102CC" w:rsidRPr="00591F8B">
        <w:rPr>
          <w:rStyle w:val="Teksttreci"/>
          <w:rFonts w:asciiTheme="minorHAnsi" w:hAnsiTheme="minorHAnsi" w:cstheme="minorHAnsi"/>
          <w:bCs/>
        </w:rPr>
        <w:t xml:space="preserve">entra </w:t>
      </w:r>
      <w:r w:rsidRPr="00591F8B">
        <w:rPr>
          <w:rStyle w:val="Teksttreci"/>
          <w:rFonts w:asciiTheme="minorHAnsi" w:hAnsiTheme="minorHAnsi" w:cstheme="minorHAnsi"/>
          <w:bCs/>
        </w:rPr>
        <w:t>W</w:t>
      </w:r>
      <w:r w:rsidR="000102CC" w:rsidRPr="00591F8B">
        <w:rPr>
          <w:rStyle w:val="Teksttreci"/>
          <w:rFonts w:asciiTheme="minorHAnsi" w:hAnsiTheme="minorHAnsi" w:cstheme="minorHAnsi"/>
          <w:bCs/>
        </w:rPr>
        <w:t xml:space="preserve">sparcia </w:t>
      </w:r>
      <w:r w:rsidRPr="00591F8B">
        <w:rPr>
          <w:rStyle w:val="Teksttreci"/>
          <w:rFonts w:asciiTheme="minorHAnsi" w:hAnsiTheme="minorHAnsi" w:cstheme="minorHAnsi"/>
          <w:bCs/>
        </w:rPr>
        <w:t>B</w:t>
      </w:r>
      <w:r w:rsidR="000102CC" w:rsidRPr="00591F8B">
        <w:rPr>
          <w:rStyle w:val="Teksttreci"/>
          <w:rFonts w:asciiTheme="minorHAnsi" w:hAnsiTheme="minorHAnsi" w:cstheme="minorHAnsi"/>
          <w:bCs/>
        </w:rPr>
        <w:t xml:space="preserve">adań </w:t>
      </w:r>
      <w:r w:rsidRPr="00591F8B">
        <w:rPr>
          <w:rStyle w:val="Teksttreci"/>
          <w:rFonts w:asciiTheme="minorHAnsi" w:hAnsiTheme="minorHAnsi" w:cstheme="minorHAnsi"/>
          <w:bCs/>
        </w:rPr>
        <w:t>K</w:t>
      </w:r>
      <w:r w:rsidR="000102CC" w:rsidRPr="00591F8B">
        <w:rPr>
          <w:rStyle w:val="Teksttreci"/>
          <w:rFonts w:asciiTheme="minorHAnsi" w:hAnsiTheme="minorHAnsi" w:cstheme="minorHAnsi"/>
          <w:bCs/>
        </w:rPr>
        <w:t>linicznych Agencji Badań Medycznych</w:t>
      </w:r>
      <w:r w:rsidR="008C3B15" w:rsidRPr="00591F8B">
        <w:rPr>
          <w:rStyle w:val="Teksttreci"/>
          <w:rFonts w:asciiTheme="minorHAnsi" w:hAnsiTheme="minorHAnsi" w:cstheme="minorHAnsi"/>
          <w:bCs/>
        </w:rPr>
        <w:t>.</w:t>
      </w:r>
    </w:p>
    <w:p w14:paraId="56D60123" w14:textId="77777777" w:rsidR="00D70A7E" w:rsidRPr="00591F8B" w:rsidRDefault="00892C34" w:rsidP="0033607D">
      <w:pPr>
        <w:pStyle w:val="Nagwek1"/>
        <w:numPr>
          <w:ilvl w:val="0"/>
          <w:numId w:val="27"/>
        </w:numPr>
        <w:ind w:left="426" w:hanging="426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  <w:r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>CEL</w:t>
      </w:r>
      <w:r w:rsidR="00FF4C8A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C51E04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>PROCEDURY</w:t>
      </w:r>
    </w:p>
    <w:p w14:paraId="5DC66A97" w14:textId="6AF67EC5" w:rsidR="00D70A7E" w:rsidRPr="00591F8B" w:rsidRDefault="00D70A7E" w:rsidP="0033607D">
      <w:pPr>
        <w:pStyle w:val="Teksttreci0"/>
        <w:tabs>
          <w:tab w:val="left" w:pos="378"/>
        </w:tabs>
        <w:spacing w:after="520"/>
        <w:jc w:val="both"/>
        <w:rPr>
          <w:rFonts w:asciiTheme="minorHAnsi" w:hAnsiTheme="minorHAnsi" w:cstheme="minorHAnsi"/>
        </w:rPr>
      </w:pPr>
      <w:r w:rsidRPr="00591F8B">
        <w:rPr>
          <w:rFonts w:asciiTheme="minorHAnsi" w:eastAsia="Times New Roman" w:hAnsiTheme="minorHAnsi" w:cstheme="minorHAnsi"/>
          <w:kern w:val="32"/>
          <w:lang w:eastAsia="pl-PL"/>
        </w:rPr>
        <w:t>Procedura opracowana w celu określenia zasad raportowania zdarzeń i działań niepożądanych, występujących w trakcie badania klinicznego.</w:t>
      </w:r>
    </w:p>
    <w:p w14:paraId="0C5D1382" w14:textId="28BBC4F2" w:rsidR="00D70A7E" w:rsidRPr="00591F8B" w:rsidRDefault="009B2373" w:rsidP="0033607D">
      <w:pPr>
        <w:pStyle w:val="Nagwek1"/>
        <w:numPr>
          <w:ilvl w:val="0"/>
          <w:numId w:val="27"/>
        </w:numPr>
        <w:ind w:left="426" w:hanging="426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  <w:r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ODPOWIEDZIALNOŚĆ I WYKAZ UŻYTKOWNIKÓW </w:t>
      </w:r>
      <w:r w:rsidR="00CE4F8E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>/ REALIZATORÓW PROCEDURY</w:t>
      </w:r>
    </w:p>
    <w:p w14:paraId="6C9C4BCF" w14:textId="37F32264" w:rsidR="00456D40" w:rsidRPr="00591F8B" w:rsidRDefault="00D70A7E" w:rsidP="0033607D">
      <w:pPr>
        <w:pStyle w:val="Teksttreci0"/>
        <w:tabs>
          <w:tab w:val="left" w:pos="378"/>
        </w:tabs>
        <w:spacing w:after="520"/>
        <w:jc w:val="both"/>
        <w:rPr>
          <w:rFonts w:asciiTheme="minorHAnsi" w:hAnsiTheme="minorHAnsi" w:cstheme="minorHAnsi"/>
        </w:rPr>
      </w:pPr>
      <w:r w:rsidRPr="00591F8B">
        <w:rPr>
          <w:rFonts w:asciiTheme="minorHAnsi" w:hAnsiTheme="minorHAnsi" w:cstheme="minorHAnsi"/>
        </w:rPr>
        <w:t xml:space="preserve">Badacza Głównego/ Współbadaczy, Koordynatora Badań </w:t>
      </w:r>
      <w:r w:rsidR="008C3B15" w:rsidRPr="00591F8B">
        <w:rPr>
          <w:rFonts w:asciiTheme="minorHAnsi" w:hAnsiTheme="minorHAnsi" w:cstheme="minorHAnsi"/>
        </w:rPr>
        <w:t>Klinicznych, Osób</w:t>
      </w:r>
      <w:r w:rsidRPr="00591F8B">
        <w:rPr>
          <w:rFonts w:asciiTheme="minorHAnsi" w:hAnsiTheme="minorHAnsi" w:cstheme="minorHAnsi"/>
        </w:rPr>
        <w:t xml:space="preserve"> Wprowadzających Dane do Karty Obserwacji Klinicznej (Data </w:t>
      </w:r>
      <w:proofErr w:type="spellStart"/>
      <w:r w:rsidRPr="00591F8B">
        <w:rPr>
          <w:rFonts w:asciiTheme="minorHAnsi" w:hAnsiTheme="minorHAnsi" w:cstheme="minorHAnsi"/>
        </w:rPr>
        <w:t>Entry</w:t>
      </w:r>
      <w:proofErr w:type="spellEnd"/>
      <w:r w:rsidRPr="00591F8B">
        <w:rPr>
          <w:rFonts w:asciiTheme="minorHAnsi" w:hAnsiTheme="minorHAnsi" w:cstheme="minorHAnsi"/>
        </w:rPr>
        <w:t xml:space="preserve"> Person),</w:t>
      </w:r>
      <w:r w:rsidR="00E92841" w:rsidRPr="00591F8B">
        <w:rPr>
          <w:rFonts w:asciiTheme="minorHAnsi" w:hAnsiTheme="minorHAnsi" w:cstheme="minorHAnsi"/>
        </w:rPr>
        <w:t xml:space="preserve"> k</w:t>
      </w:r>
      <w:r w:rsidRPr="00591F8B">
        <w:rPr>
          <w:rFonts w:asciiTheme="minorHAnsi" w:hAnsiTheme="minorHAnsi" w:cstheme="minorHAnsi"/>
        </w:rPr>
        <w:t>ażdego</w:t>
      </w:r>
      <w:r w:rsidR="00B5502F" w:rsidRPr="00591F8B">
        <w:rPr>
          <w:rFonts w:asciiTheme="minorHAnsi" w:hAnsiTheme="minorHAnsi" w:cstheme="minorHAnsi"/>
        </w:rPr>
        <w:t xml:space="preserve"> członka Zespołu Badawczego i</w:t>
      </w:r>
      <w:r w:rsidRPr="00591F8B">
        <w:rPr>
          <w:rFonts w:asciiTheme="minorHAnsi" w:hAnsiTheme="minorHAnsi" w:cstheme="minorHAnsi"/>
        </w:rPr>
        <w:t xml:space="preserve"> pracownika CWBK, który może powziąć informację o stanie zdrowia Uczestnika badania klinicznego</w:t>
      </w:r>
    </w:p>
    <w:p w14:paraId="6E3558DA" w14:textId="14C92B00" w:rsidR="008A0BC3" w:rsidRPr="00591F8B" w:rsidRDefault="00A04FE1" w:rsidP="0033607D">
      <w:pPr>
        <w:pStyle w:val="Nagwek1"/>
        <w:numPr>
          <w:ilvl w:val="0"/>
          <w:numId w:val="27"/>
        </w:numPr>
        <w:ind w:left="426" w:hanging="426"/>
        <w:jc w:val="both"/>
        <w:rPr>
          <w:rStyle w:val="Teksttreci"/>
          <w:rFonts w:asciiTheme="minorHAnsi" w:hAnsiTheme="minorHAnsi" w:cstheme="minorHAnsi"/>
          <w:b/>
          <w:sz w:val="22"/>
          <w:szCs w:val="22"/>
        </w:rPr>
      </w:pPr>
      <w:r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OPIS </w:t>
      </w:r>
      <w:r w:rsidR="00D602AB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SKRÓTÓW/ </w:t>
      </w:r>
      <w:r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>PROCESU</w:t>
      </w:r>
      <w:r w:rsidR="00DC174B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/ ZADAŃ</w:t>
      </w:r>
      <w:r w:rsidR="00AB3E72" w:rsidRPr="00591F8B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/ PROCEDUR</w:t>
      </w:r>
    </w:p>
    <w:p w14:paraId="4BEF41DF" w14:textId="7C0BA838" w:rsidR="00D70A7E" w:rsidRPr="00591F8B" w:rsidRDefault="00D70A7E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  <w:r w:rsidRPr="00591F8B">
        <w:rPr>
          <w:rFonts w:asciiTheme="minorHAnsi" w:hAnsiTheme="minorHAnsi" w:cstheme="minorHAnsi"/>
          <w:b/>
          <w:bCs/>
        </w:rPr>
        <w:t xml:space="preserve">Zdarzenie niepożądane (AE – </w:t>
      </w:r>
      <w:proofErr w:type="spellStart"/>
      <w:r w:rsidRPr="00591F8B">
        <w:rPr>
          <w:rFonts w:asciiTheme="minorHAnsi" w:hAnsiTheme="minorHAnsi" w:cstheme="minorHAnsi"/>
          <w:b/>
          <w:bCs/>
        </w:rPr>
        <w:t>Adverse</w:t>
      </w:r>
      <w:proofErr w:type="spellEnd"/>
      <w:r w:rsidRPr="00591F8B">
        <w:rPr>
          <w:rFonts w:asciiTheme="minorHAnsi" w:hAnsiTheme="minorHAnsi" w:cstheme="minorHAnsi"/>
          <w:b/>
          <w:bCs/>
        </w:rPr>
        <w:t xml:space="preserve"> Event)</w:t>
      </w:r>
      <w:r w:rsidRPr="00591F8B">
        <w:rPr>
          <w:rFonts w:asciiTheme="minorHAnsi" w:hAnsiTheme="minorHAnsi" w:cstheme="minorHAnsi"/>
        </w:rPr>
        <w:t xml:space="preserve"> – każde niepożądane zdarzenie natury medycznej występujące u pacjenta lub osoby uczestniczącej </w:t>
      </w:r>
      <w:r w:rsidR="008C3B15" w:rsidRPr="00591F8B">
        <w:rPr>
          <w:rFonts w:asciiTheme="minorHAnsi" w:hAnsiTheme="minorHAnsi" w:cstheme="minorHAnsi"/>
        </w:rPr>
        <w:t>w badaniu</w:t>
      </w:r>
      <w:r w:rsidRPr="00591F8B">
        <w:rPr>
          <w:rFonts w:asciiTheme="minorHAnsi" w:hAnsiTheme="minorHAnsi" w:cstheme="minorHAnsi"/>
        </w:rPr>
        <w:t>, otrzymującej produkt farmaceutyczny, niezależnie od istnienia lub braku związku przyczynowo–skutkowego z</w:t>
      </w:r>
      <w:r w:rsidR="008C3B15" w:rsidRPr="00591F8B">
        <w:rPr>
          <w:rFonts w:asciiTheme="minorHAnsi" w:hAnsiTheme="minorHAnsi" w:cstheme="minorHAnsi"/>
        </w:rPr>
        <w:t> </w:t>
      </w:r>
      <w:r w:rsidRPr="00591F8B">
        <w:rPr>
          <w:rFonts w:asciiTheme="minorHAnsi" w:hAnsiTheme="minorHAnsi" w:cstheme="minorHAnsi"/>
        </w:rPr>
        <w:t>otrzymywanym leczeniem. Za zdarzenie niepożądane może więc zostać uznany każdy szkodliwy i niezamierzony objaw przedmiotowy (również nieprawidłowy wynik badania laboratoryjnego, pogorszenie stanu zdrowia, nasilenie dotychczasowych objawów), podmiotowy lub choroba, której wystąpienie jest czasowo zbieżne z</w:t>
      </w:r>
      <w:r w:rsidR="007F5AD8">
        <w:rPr>
          <w:rFonts w:asciiTheme="minorHAnsi" w:hAnsiTheme="minorHAnsi" w:cstheme="minorHAnsi"/>
        </w:rPr>
        <w:t> </w:t>
      </w:r>
      <w:r w:rsidRPr="00591F8B">
        <w:rPr>
          <w:rFonts w:asciiTheme="minorHAnsi" w:hAnsiTheme="minorHAnsi" w:cstheme="minorHAnsi"/>
        </w:rPr>
        <w:t>zastosowaniem badanego produktu medycznego, niezależnie od tego, czy związek przyczynowo skutkowy zachodzi czy nie.</w:t>
      </w:r>
    </w:p>
    <w:p w14:paraId="432B9751" w14:textId="77777777" w:rsidR="00825D1D" w:rsidRPr="00591F8B" w:rsidRDefault="00825D1D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</w:p>
    <w:p w14:paraId="111CA77E" w14:textId="6D701AEC" w:rsidR="00D70A7E" w:rsidRPr="00591F8B" w:rsidRDefault="00D70A7E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  <w:r w:rsidRPr="00591F8B">
        <w:rPr>
          <w:rFonts w:asciiTheme="minorHAnsi" w:hAnsiTheme="minorHAnsi" w:cstheme="minorHAnsi"/>
          <w:b/>
          <w:bCs/>
        </w:rPr>
        <w:t xml:space="preserve">Podejrzewane niespodziewane </w:t>
      </w:r>
      <w:r w:rsidR="007B5C8B" w:rsidRPr="00591F8B">
        <w:rPr>
          <w:rFonts w:asciiTheme="minorHAnsi" w:hAnsiTheme="minorHAnsi" w:cstheme="minorHAnsi"/>
          <w:b/>
          <w:bCs/>
        </w:rPr>
        <w:t>ciężkie (</w:t>
      </w:r>
      <w:r w:rsidRPr="00591F8B">
        <w:rPr>
          <w:rFonts w:asciiTheme="minorHAnsi" w:hAnsiTheme="minorHAnsi" w:cstheme="minorHAnsi"/>
          <w:b/>
          <w:bCs/>
        </w:rPr>
        <w:t>poważne</w:t>
      </w:r>
      <w:r w:rsidR="007B5C8B" w:rsidRPr="00591F8B">
        <w:rPr>
          <w:rFonts w:asciiTheme="minorHAnsi" w:hAnsiTheme="minorHAnsi" w:cstheme="minorHAnsi"/>
          <w:b/>
          <w:bCs/>
        </w:rPr>
        <w:t>)</w:t>
      </w:r>
      <w:r w:rsidRPr="00591F8B">
        <w:rPr>
          <w:rFonts w:asciiTheme="minorHAnsi" w:hAnsiTheme="minorHAnsi" w:cstheme="minorHAnsi"/>
          <w:b/>
          <w:bCs/>
        </w:rPr>
        <w:t xml:space="preserve"> niepożądane działanie produktu leczniczego (SUSAR - </w:t>
      </w:r>
      <w:proofErr w:type="spellStart"/>
      <w:r w:rsidRPr="00591F8B">
        <w:rPr>
          <w:rFonts w:asciiTheme="minorHAnsi" w:hAnsiTheme="minorHAnsi" w:cstheme="minorHAnsi"/>
          <w:b/>
          <w:bCs/>
        </w:rPr>
        <w:t>Suspected</w:t>
      </w:r>
      <w:proofErr w:type="spellEnd"/>
      <w:r w:rsidRPr="00591F8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91F8B">
        <w:rPr>
          <w:rFonts w:asciiTheme="minorHAnsi" w:hAnsiTheme="minorHAnsi" w:cstheme="minorHAnsi"/>
          <w:b/>
          <w:bCs/>
        </w:rPr>
        <w:t>Unexpected</w:t>
      </w:r>
      <w:proofErr w:type="spellEnd"/>
      <w:r w:rsidRPr="00591F8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91F8B">
        <w:rPr>
          <w:rFonts w:asciiTheme="minorHAnsi" w:hAnsiTheme="minorHAnsi" w:cstheme="minorHAnsi"/>
          <w:b/>
          <w:bCs/>
        </w:rPr>
        <w:t>Serious</w:t>
      </w:r>
      <w:proofErr w:type="spellEnd"/>
      <w:r w:rsidRPr="00591F8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91F8B">
        <w:rPr>
          <w:rFonts w:asciiTheme="minorHAnsi" w:hAnsiTheme="minorHAnsi" w:cstheme="minorHAnsi"/>
          <w:b/>
          <w:bCs/>
        </w:rPr>
        <w:t>Adverse</w:t>
      </w:r>
      <w:proofErr w:type="spellEnd"/>
      <w:r w:rsidRPr="00591F8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91F8B">
        <w:rPr>
          <w:rFonts w:asciiTheme="minorHAnsi" w:hAnsiTheme="minorHAnsi" w:cstheme="minorHAnsi"/>
          <w:b/>
          <w:bCs/>
        </w:rPr>
        <w:t>Reaction</w:t>
      </w:r>
      <w:proofErr w:type="spellEnd"/>
      <w:r w:rsidRPr="00591F8B">
        <w:rPr>
          <w:rFonts w:asciiTheme="minorHAnsi" w:hAnsiTheme="minorHAnsi" w:cstheme="minorHAnsi"/>
          <w:b/>
          <w:bCs/>
        </w:rPr>
        <w:t>)</w:t>
      </w:r>
      <w:r w:rsidRPr="00591F8B">
        <w:rPr>
          <w:rFonts w:asciiTheme="minorHAnsi" w:hAnsiTheme="minorHAnsi" w:cstheme="minorHAnsi"/>
        </w:rPr>
        <w:t xml:space="preserve"> – to działanie niepożądane, którego rodzaj lub nasilenie nie odpowiada danym zawartym w referencyjnej informacji o bezpieczeństwie, takich jak Broszura Badacza czy Charakterystyka Produktu Leczniczego.</w:t>
      </w:r>
    </w:p>
    <w:p w14:paraId="24A20144" w14:textId="77777777" w:rsidR="00825D1D" w:rsidRPr="00591F8B" w:rsidRDefault="00825D1D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</w:p>
    <w:p w14:paraId="004EED27" w14:textId="774164C7" w:rsidR="00D70A7E" w:rsidRPr="00591F8B" w:rsidRDefault="00D70A7E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  <w:r w:rsidRPr="00591F8B">
        <w:rPr>
          <w:rFonts w:asciiTheme="minorHAnsi" w:hAnsiTheme="minorHAnsi" w:cstheme="minorHAnsi"/>
          <w:b/>
          <w:bCs/>
        </w:rPr>
        <w:t xml:space="preserve">Pharmacovigilance </w:t>
      </w:r>
      <w:r w:rsidRPr="00591F8B">
        <w:rPr>
          <w:rFonts w:asciiTheme="minorHAnsi" w:hAnsiTheme="minorHAnsi" w:cstheme="minorHAnsi"/>
        </w:rPr>
        <w:t xml:space="preserve">– </w:t>
      </w:r>
      <w:r w:rsidR="000B1AC8" w:rsidRPr="00591F8B">
        <w:rPr>
          <w:rFonts w:asciiTheme="minorHAnsi" w:hAnsiTheme="minorHAnsi" w:cstheme="minorHAnsi"/>
        </w:rPr>
        <w:t>nadzór nad</w:t>
      </w:r>
      <w:r w:rsidRPr="00591F8B">
        <w:rPr>
          <w:rFonts w:asciiTheme="minorHAnsi" w:hAnsiTheme="minorHAnsi" w:cstheme="minorHAnsi"/>
        </w:rPr>
        <w:t xml:space="preserve"> bezpieczeństw</w:t>
      </w:r>
      <w:r w:rsidR="000B1AC8" w:rsidRPr="00591F8B">
        <w:rPr>
          <w:rFonts w:asciiTheme="minorHAnsi" w:hAnsiTheme="minorHAnsi" w:cstheme="minorHAnsi"/>
        </w:rPr>
        <w:t>em</w:t>
      </w:r>
      <w:r w:rsidRPr="00591F8B">
        <w:rPr>
          <w:rFonts w:asciiTheme="minorHAnsi" w:hAnsiTheme="minorHAnsi" w:cstheme="minorHAnsi"/>
        </w:rPr>
        <w:t xml:space="preserve"> stosowania produktów leczniczych</w:t>
      </w:r>
      <w:r w:rsidR="000B1AC8" w:rsidRPr="00591F8B">
        <w:rPr>
          <w:rFonts w:asciiTheme="minorHAnsi" w:hAnsiTheme="minorHAnsi" w:cstheme="minorHAnsi"/>
        </w:rPr>
        <w:t>, zgodny z</w:t>
      </w:r>
      <w:r w:rsidR="007F5AD8">
        <w:rPr>
          <w:rFonts w:asciiTheme="minorHAnsi" w:hAnsiTheme="minorHAnsi" w:cstheme="minorHAnsi"/>
        </w:rPr>
        <w:t> </w:t>
      </w:r>
      <w:r w:rsidRPr="00591F8B">
        <w:rPr>
          <w:rFonts w:asciiTheme="minorHAnsi" w:hAnsiTheme="minorHAnsi" w:cstheme="minorHAnsi"/>
        </w:rPr>
        <w:t>przepisami prawa polskiego oraz przepisami prawa Unii Europejskiej.</w:t>
      </w:r>
    </w:p>
    <w:p w14:paraId="3366AA19" w14:textId="77777777" w:rsidR="00825D1D" w:rsidRPr="00591F8B" w:rsidRDefault="00825D1D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</w:p>
    <w:p w14:paraId="06E56616" w14:textId="2F973E73" w:rsidR="00D70A7E" w:rsidRPr="00591F8B" w:rsidRDefault="00D70A7E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  <w:proofErr w:type="spellStart"/>
      <w:r w:rsidRPr="00591F8B">
        <w:rPr>
          <w:rFonts w:asciiTheme="minorHAnsi" w:hAnsiTheme="minorHAnsi" w:cstheme="minorHAnsi"/>
          <w:b/>
          <w:bCs/>
        </w:rPr>
        <w:t>EudraVigilance</w:t>
      </w:r>
      <w:proofErr w:type="spellEnd"/>
      <w:r w:rsidRPr="00591F8B">
        <w:rPr>
          <w:rFonts w:asciiTheme="minorHAnsi" w:hAnsiTheme="minorHAnsi" w:cstheme="minorHAnsi"/>
        </w:rPr>
        <w:t xml:space="preserve"> – internetowy system informacyjny służący do zarządzania danymi </w:t>
      </w:r>
      <w:r w:rsidR="00D602AB" w:rsidRPr="00591F8B">
        <w:rPr>
          <w:rFonts w:asciiTheme="minorHAnsi" w:hAnsiTheme="minorHAnsi" w:cstheme="minorHAnsi"/>
        </w:rPr>
        <w:br/>
      </w:r>
      <w:r w:rsidRPr="00591F8B">
        <w:rPr>
          <w:rFonts w:asciiTheme="minorHAnsi" w:hAnsiTheme="minorHAnsi" w:cstheme="minorHAnsi"/>
        </w:rPr>
        <w:t>z raportów o bezpieczeństwie utworzonymi przez Europejską Agencję Leków (EMA), zawierającymi zgłoszenia o podejrzewanych działaniach niepożądanych leków zarejestrowanych w UE.</w:t>
      </w:r>
    </w:p>
    <w:p w14:paraId="2CE618EB" w14:textId="77777777" w:rsidR="00825D1D" w:rsidRPr="00591F8B" w:rsidRDefault="00825D1D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</w:rPr>
      </w:pPr>
    </w:p>
    <w:p w14:paraId="113F584A" w14:textId="109EED13" w:rsidR="005A634A" w:rsidRPr="00591F8B" w:rsidRDefault="005A634A" w:rsidP="0033607D">
      <w:pPr>
        <w:pStyle w:val="Nagwek1"/>
        <w:numPr>
          <w:ilvl w:val="1"/>
          <w:numId w:val="41"/>
        </w:numPr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591F8B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Karta Obserwacji Klinicznej (CRF – Case Report Form)</w:t>
      </w:r>
      <w:r w:rsidRPr="00591F8B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91F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drukowany albo zawarty na nośniku elektronicznym (</w:t>
      </w:r>
      <w:proofErr w:type="spellStart"/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eCRF</w:t>
      </w:r>
      <w:proofErr w:type="spellEnd"/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– </w:t>
      </w:r>
      <w:proofErr w:type="spellStart"/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electronic</w:t>
      </w:r>
      <w:proofErr w:type="spellEnd"/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Case Report Form) lub optycznym dokument służący do zbierania wszystkich wymaganych w protokole informacji dotyczących poszczególnych uczestników badania.</w:t>
      </w:r>
    </w:p>
    <w:p w14:paraId="68C9AC59" w14:textId="32D42FED" w:rsidR="00D70A7E" w:rsidRPr="00591F8B" w:rsidRDefault="00D70A7E" w:rsidP="0033607D">
      <w:pPr>
        <w:pStyle w:val="Nagwek1"/>
        <w:numPr>
          <w:ilvl w:val="1"/>
          <w:numId w:val="41"/>
        </w:numPr>
        <w:jc w:val="both"/>
        <w:rPr>
          <w:rStyle w:val="Teksttreci"/>
          <w:rFonts w:asciiTheme="minorHAnsi" w:hAnsiTheme="minorHAnsi" w:cstheme="minorHAnsi"/>
          <w:b/>
          <w:bCs/>
          <w:sz w:val="22"/>
          <w:szCs w:val="22"/>
        </w:rPr>
      </w:pPr>
      <w:r w:rsidRPr="00591F8B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Kryteria oceny zdarzenia niepożądanego:</w:t>
      </w:r>
    </w:p>
    <w:p w14:paraId="1BE5B89D" w14:textId="603FD882" w:rsidR="00D70A7E" w:rsidRPr="00591F8B" w:rsidRDefault="00D70A7E" w:rsidP="0033607D">
      <w:pPr>
        <w:pStyle w:val="Akapitzlist"/>
        <w:numPr>
          <w:ilvl w:val="0"/>
          <w:numId w:val="45"/>
        </w:numPr>
        <w:jc w:val="both"/>
      </w:pPr>
      <w:r w:rsidRPr="00591F8B">
        <w:rPr>
          <w:rFonts w:eastAsia="Arial" w:cstheme="minorHAnsi"/>
        </w:rPr>
        <w:t>Ocena ciężkości (</w:t>
      </w:r>
      <w:proofErr w:type="spellStart"/>
      <w:r w:rsidRPr="00591F8B">
        <w:rPr>
          <w:rFonts w:eastAsia="Arial" w:cstheme="minorHAnsi"/>
        </w:rPr>
        <w:t>seriousness</w:t>
      </w:r>
      <w:proofErr w:type="spellEnd"/>
      <w:r w:rsidRPr="00591F8B">
        <w:rPr>
          <w:rFonts w:eastAsia="Arial" w:cstheme="minorHAnsi"/>
        </w:rPr>
        <w:t>)</w:t>
      </w:r>
    </w:p>
    <w:p w14:paraId="460F00A7" w14:textId="326D6675" w:rsidR="00825D1D" w:rsidRPr="00591F8B" w:rsidRDefault="00825D1D" w:rsidP="0033607D">
      <w:pPr>
        <w:pStyle w:val="Akapitzlist"/>
        <w:numPr>
          <w:ilvl w:val="0"/>
          <w:numId w:val="45"/>
        </w:numPr>
        <w:jc w:val="both"/>
      </w:pPr>
      <w:r w:rsidRPr="00591F8B">
        <w:rPr>
          <w:rFonts w:eastAsia="Arial" w:cstheme="minorHAnsi"/>
        </w:rPr>
        <w:t>Ocena nasilenia (</w:t>
      </w:r>
      <w:proofErr w:type="spellStart"/>
      <w:r w:rsidRPr="00591F8B">
        <w:rPr>
          <w:rFonts w:eastAsia="Arial" w:cstheme="minorHAnsi"/>
        </w:rPr>
        <w:t>severity</w:t>
      </w:r>
      <w:proofErr w:type="spellEnd"/>
      <w:r w:rsidRPr="00591F8B">
        <w:rPr>
          <w:rFonts w:eastAsia="Arial" w:cstheme="minorHAnsi"/>
        </w:rPr>
        <w:t>)</w:t>
      </w:r>
    </w:p>
    <w:p w14:paraId="1FC1E146" w14:textId="5007129F" w:rsidR="00D70A7E" w:rsidRPr="00591F8B" w:rsidRDefault="005A634A" w:rsidP="0033607D">
      <w:pPr>
        <w:pStyle w:val="Akapitzlist"/>
        <w:numPr>
          <w:ilvl w:val="0"/>
          <w:numId w:val="45"/>
        </w:numPr>
        <w:jc w:val="both"/>
      </w:pPr>
      <w:r w:rsidRPr="00591F8B">
        <w:t>Ocena przyczynowości tzn. związku zdarzenia z badanym produktem leczniczym (</w:t>
      </w:r>
      <w:proofErr w:type="spellStart"/>
      <w:r w:rsidRPr="00591F8B">
        <w:t>causality</w:t>
      </w:r>
      <w:proofErr w:type="spellEnd"/>
      <w:r w:rsidRPr="00591F8B">
        <w:t>)</w:t>
      </w:r>
    </w:p>
    <w:p w14:paraId="6C1C2F32" w14:textId="77777777" w:rsidR="00DE4341" w:rsidRPr="00591F8B" w:rsidRDefault="00DE4341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</w:p>
    <w:p w14:paraId="0DAC412E" w14:textId="17F1F95B" w:rsidR="006A7235" w:rsidRPr="00591F8B" w:rsidRDefault="00D70A7E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>Ze względu na kryterium ciężkości zdarzenia niepożądane klasyfikowane są</w:t>
      </w:r>
      <w:r w:rsidR="006A7235" w:rsidRPr="00591F8B">
        <w:rPr>
          <w:rFonts w:eastAsia="Arial" w:cstheme="minorHAnsi"/>
          <w:b/>
          <w:bCs/>
        </w:rPr>
        <w:t xml:space="preserve"> jako spełniające kryterium ciężkości, czyli SAE lub niespełniające kryterium </w:t>
      </w:r>
      <w:r w:rsidR="008C3B15" w:rsidRPr="00591F8B">
        <w:rPr>
          <w:rFonts w:eastAsia="Arial" w:cstheme="minorHAnsi"/>
          <w:b/>
          <w:bCs/>
        </w:rPr>
        <w:t>ciężkości,</w:t>
      </w:r>
      <w:r w:rsidR="006A7235" w:rsidRPr="00591F8B">
        <w:rPr>
          <w:rFonts w:eastAsia="Arial" w:cstheme="minorHAnsi"/>
          <w:b/>
          <w:bCs/>
        </w:rPr>
        <w:t xml:space="preserve"> czyli AE</w:t>
      </w:r>
      <w:r w:rsidR="00DF416D" w:rsidRPr="00591F8B">
        <w:rPr>
          <w:rFonts w:eastAsia="Arial" w:cstheme="minorHAnsi"/>
          <w:b/>
          <w:bCs/>
        </w:rPr>
        <w:t>. Kryteria klasyfikacji zdarzenia jako SAE zostały wymienione w punkcie 4.2)</w:t>
      </w:r>
      <w:r w:rsidR="006A7235" w:rsidRPr="00591F8B">
        <w:rPr>
          <w:rFonts w:eastAsia="Arial" w:cstheme="minorHAnsi"/>
          <w:b/>
          <w:bCs/>
        </w:rPr>
        <w:t>.</w:t>
      </w:r>
    </w:p>
    <w:p w14:paraId="252BDC0B" w14:textId="77777777" w:rsidR="00BB5200" w:rsidRPr="00591F8B" w:rsidRDefault="00BB5200" w:rsidP="0033607D">
      <w:pPr>
        <w:spacing w:after="0" w:line="276" w:lineRule="auto"/>
        <w:ind w:right="170"/>
        <w:jc w:val="both"/>
        <w:rPr>
          <w:rFonts w:eastAsia="Arial" w:cstheme="minorHAnsi"/>
          <w:b/>
          <w:bCs/>
        </w:rPr>
      </w:pPr>
    </w:p>
    <w:p w14:paraId="6BEBFA1E" w14:textId="3AC10637" w:rsidR="00D70A7E" w:rsidRPr="00591F8B" w:rsidRDefault="006A7235" w:rsidP="0033607D">
      <w:pPr>
        <w:spacing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 xml:space="preserve">Ze względu na </w:t>
      </w:r>
      <w:r w:rsidR="00D56199" w:rsidRPr="00591F8B">
        <w:rPr>
          <w:rFonts w:eastAsia="Arial" w:cstheme="minorHAnsi"/>
          <w:b/>
          <w:bCs/>
        </w:rPr>
        <w:t xml:space="preserve">kryterium nasilenia zdarzenia są </w:t>
      </w:r>
      <w:r w:rsidR="008C3B15" w:rsidRPr="00591F8B">
        <w:rPr>
          <w:rFonts w:eastAsia="Arial" w:cstheme="minorHAnsi"/>
          <w:b/>
          <w:bCs/>
        </w:rPr>
        <w:t>klasyfikowane najczęściej</w:t>
      </w:r>
      <w:r w:rsidR="00D70A7E" w:rsidRPr="00591F8B">
        <w:rPr>
          <w:rFonts w:eastAsia="Arial" w:cstheme="minorHAnsi"/>
          <w:b/>
          <w:bCs/>
        </w:rPr>
        <w:t xml:space="preserve"> jako:</w:t>
      </w:r>
    </w:p>
    <w:p w14:paraId="56E739DF" w14:textId="05A32F32" w:rsidR="00D70A7E" w:rsidRPr="00591F8B" w:rsidRDefault="00D70A7E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Stopień 1</w:t>
      </w:r>
      <w:r w:rsidR="00D84B11">
        <w:rPr>
          <w:rFonts w:eastAsia="Arial" w:cstheme="minorHAnsi"/>
        </w:rPr>
        <w:t xml:space="preserve"> </w:t>
      </w:r>
      <w:r w:rsidR="00D84B11">
        <w:rPr>
          <w:rFonts w:eastAsia="Arial" w:cstheme="minorHAnsi"/>
          <w:b/>
          <w:bCs/>
        </w:rPr>
        <w:t xml:space="preserve">– </w:t>
      </w:r>
      <w:r w:rsidRPr="00591F8B">
        <w:rPr>
          <w:rFonts w:eastAsia="Arial" w:cstheme="minorHAnsi"/>
        </w:rPr>
        <w:t>łagodne (</w:t>
      </w:r>
      <w:proofErr w:type="spellStart"/>
      <w:r w:rsidRPr="00591F8B">
        <w:rPr>
          <w:rFonts w:eastAsia="Arial" w:cstheme="minorHAnsi"/>
        </w:rPr>
        <w:t>mild</w:t>
      </w:r>
      <w:proofErr w:type="spellEnd"/>
      <w:r w:rsidRPr="00591F8B">
        <w:rPr>
          <w:rFonts w:eastAsia="Arial" w:cstheme="minorHAnsi"/>
        </w:rPr>
        <w:t xml:space="preserve">) zdarzenie niepożądane </w:t>
      </w:r>
    </w:p>
    <w:p w14:paraId="7FA40C48" w14:textId="7B804ABD" w:rsidR="00D70A7E" w:rsidRPr="00591F8B" w:rsidRDefault="00D70A7E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Stopień 2</w:t>
      </w:r>
      <w:r w:rsidR="00D84B11">
        <w:rPr>
          <w:rFonts w:eastAsia="Arial" w:cstheme="minorHAnsi"/>
        </w:rPr>
        <w:t xml:space="preserve"> </w:t>
      </w:r>
      <w:r w:rsidR="00D84B11">
        <w:rPr>
          <w:rFonts w:eastAsia="Arial" w:cstheme="minorHAnsi"/>
          <w:b/>
          <w:bCs/>
        </w:rPr>
        <w:t xml:space="preserve">– </w:t>
      </w:r>
      <w:r w:rsidRPr="00591F8B">
        <w:rPr>
          <w:rFonts w:eastAsia="Arial" w:cstheme="minorHAnsi"/>
        </w:rPr>
        <w:t>umiarkowane (</w:t>
      </w:r>
      <w:proofErr w:type="spellStart"/>
      <w:r w:rsidRPr="00591F8B">
        <w:rPr>
          <w:rFonts w:eastAsia="Arial" w:cstheme="minorHAnsi"/>
        </w:rPr>
        <w:t>moderate</w:t>
      </w:r>
      <w:proofErr w:type="spellEnd"/>
      <w:r w:rsidRPr="00591F8B">
        <w:rPr>
          <w:rFonts w:eastAsia="Arial" w:cstheme="minorHAnsi"/>
        </w:rPr>
        <w:t xml:space="preserve">) zdarzenie niepożądane </w:t>
      </w:r>
    </w:p>
    <w:p w14:paraId="5378120D" w14:textId="7E298328" w:rsidR="00D70A7E" w:rsidRDefault="00D70A7E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Stopień 3</w:t>
      </w:r>
      <w:r w:rsidR="00D84B11">
        <w:rPr>
          <w:rFonts w:eastAsia="Arial" w:cstheme="minorHAnsi"/>
        </w:rPr>
        <w:t xml:space="preserve"> </w:t>
      </w:r>
      <w:r w:rsidR="00D84B11">
        <w:rPr>
          <w:rFonts w:eastAsia="Arial" w:cstheme="minorHAnsi"/>
          <w:b/>
          <w:bCs/>
        </w:rPr>
        <w:t xml:space="preserve">– </w:t>
      </w:r>
      <w:r w:rsidRPr="00591F8B">
        <w:rPr>
          <w:rFonts w:eastAsia="Arial" w:cstheme="minorHAnsi"/>
        </w:rPr>
        <w:t>ciężkie (</w:t>
      </w:r>
      <w:proofErr w:type="spellStart"/>
      <w:r w:rsidRPr="00591F8B">
        <w:rPr>
          <w:rFonts w:eastAsia="Arial" w:cstheme="minorHAnsi"/>
        </w:rPr>
        <w:t>severe</w:t>
      </w:r>
      <w:proofErr w:type="spellEnd"/>
      <w:r w:rsidRPr="00591F8B">
        <w:rPr>
          <w:rFonts w:eastAsia="Arial" w:cstheme="minorHAnsi"/>
        </w:rPr>
        <w:t xml:space="preserve">) zdarzenie niepożądane </w:t>
      </w:r>
    </w:p>
    <w:p w14:paraId="356035AC" w14:textId="21E9A71A" w:rsidR="00D84B11" w:rsidRPr="00D84B11" w:rsidRDefault="00D84B11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D84B11">
        <w:rPr>
          <w:rFonts w:eastAsia="Arial" w:cstheme="minorHAnsi"/>
          <w:b/>
          <w:bCs/>
        </w:rPr>
        <w:t xml:space="preserve">Stopień 4 </w:t>
      </w:r>
      <w:r>
        <w:rPr>
          <w:rFonts w:eastAsia="Arial" w:cstheme="minorHAnsi"/>
          <w:b/>
          <w:bCs/>
        </w:rPr>
        <w:t>–</w:t>
      </w:r>
      <w:r w:rsidRPr="00D84B11">
        <w:rPr>
          <w:rFonts w:eastAsia="Arial" w:cstheme="minorHAnsi"/>
          <w:b/>
          <w:bCs/>
        </w:rPr>
        <w:t xml:space="preserve"> </w:t>
      </w:r>
      <w:r w:rsidRPr="00D84B11">
        <w:rPr>
          <w:rFonts w:eastAsia="Arial" w:cstheme="minorHAnsi"/>
        </w:rPr>
        <w:t xml:space="preserve">zagrażające </w:t>
      </w:r>
      <w:r>
        <w:rPr>
          <w:rFonts w:eastAsia="Arial" w:cstheme="minorHAnsi"/>
        </w:rPr>
        <w:t>życiu lub zagrażające upośledzeniem (life-</w:t>
      </w:r>
      <w:proofErr w:type="spellStart"/>
      <w:r>
        <w:rPr>
          <w:rFonts w:eastAsia="Arial" w:cstheme="minorHAnsi"/>
        </w:rPr>
        <w:t>threatening</w:t>
      </w:r>
      <w:proofErr w:type="spellEnd"/>
      <w:r>
        <w:rPr>
          <w:rFonts w:eastAsia="Arial" w:cstheme="minorHAnsi"/>
        </w:rPr>
        <w:t>) zdarzenie niepożądane</w:t>
      </w:r>
    </w:p>
    <w:p w14:paraId="4588F473" w14:textId="080344AB" w:rsidR="00D70A7E" w:rsidRPr="00591F8B" w:rsidRDefault="00D70A7E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Stopień 5</w:t>
      </w:r>
      <w:r w:rsidR="00D84B11">
        <w:rPr>
          <w:rFonts w:eastAsia="Arial" w:cstheme="minorHAnsi"/>
        </w:rPr>
        <w:t xml:space="preserve"> </w:t>
      </w:r>
      <w:r w:rsidR="00D84B11">
        <w:rPr>
          <w:rFonts w:eastAsia="Arial" w:cstheme="minorHAnsi"/>
          <w:b/>
          <w:bCs/>
        </w:rPr>
        <w:t xml:space="preserve">– </w:t>
      </w:r>
      <w:r w:rsidRPr="00591F8B">
        <w:rPr>
          <w:rFonts w:eastAsia="Arial" w:cstheme="minorHAnsi"/>
        </w:rPr>
        <w:t>zgon związany ze zdarzeniem niepożądanym (</w:t>
      </w:r>
      <w:proofErr w:type="spellStart"/>
      <w:r w:rsidRPr="00591F8B">
        <w:rPr>
          <w:rFonts w:eastAsia="Arial" w:cstheme="minorHAnsi"/>
        </w:rPr>
        <w:t>death</w:t>
      </w:r>
      <w:proofErr w:type="spellEnd"/>
      <w:r w:rsidRPr="00591F8B">
        <w:rPr>
          <w:rFonts w:eastAsia="Arial" w:cstheme="minorHAnsi"/>
        </w:rPr>
        <w:t>)</w:t>
      </w:r>
    </w:p>
    <w:p w14:paraId="3216A6CF" w14:textId="77777777" w:rsidR="00D70A7E" w:rsidRPr="002C2F4C" w:rsidRDefault="00D70A7E" w:rsidP="0033607D">
      <w:pPr>
        <w:spacing w:after="0" w:line="276" w:lineRule="auto"/>
        <w:ind w:right="170"/>
        <w:jc w:val="both"/>
        <w:rPr>
          <w:rFonts w:ascii="Arial" w:eastAsia="Times New Roman" w:hAnsi="Arial" w:cs="Times New Roman"/>
          <w:b/>
          <w:lang w:eastAsia="pl-PL"/>
        </w:rPr>
      </w:pPr>
    </w:p>
    <w:p w14:paraId="7659D612" w14:textId="0C8B15AE" w:rsidR="00D23291" w:rsidRPr="00591F8B" w:rsidRDefault="00D70A7E" w:rsidP="0033607D">
      <w:pPr>
        <w:spacing w:before="120" w:after="0" w:line="276" w:lineRule="auto"/>
        <w:ind w:right="170"/>
        <w:jc w:val="both"/>
        <w:rPr>
          <w:rFonts w:eastAsia="Arial" w:cstheme="minorHAnsi"/>
        </w:rPr>
      </w:pPr>
      <w:r w:rsidRPr="002C2F4C">
        <w:rPr>
          <w:rFonts w:eastAsia="Arial" w:cstheme="minorHAnsi"/>
        </w:rPr>
        <w:t xml:space="preserve">Klasyfikacji można dokonywać </w:t>
      </w:r>
      <w:r w:rsidR="009A3D50" w:rsidRPr="002C2F4C">
        <w:rPr>
          <w:rFonts w:eastAsia="Arial" w:cstheme="minorHAnsi"/>
        </w:rPr>
        <w:t xml:space="preserve">na podstawie klasyfikacji wskazanej w Protokole lub </w:t>
      </w:r>
      <w:r w:rsidRPr="002C2F4C">
        <w:rPr>
          <w:rFonts w:eastAsia="Arial" w:cstheme="minorHAnsi"/>
        </w:rPr>
        <w:t xml:space="preserve">w oparciu o aktualną wersję </w:t>
      </w:r>
      <w:r w:rsidRPr="00591F8B">
        <w:rPr>
          <w:rFonts w:eastAsia="Arial" w:cstheme="minorHAnsi"/>
          <w:b/>
          <w:bCs/>
        </w:rPr>
        <w:t>CTCAE (</w:t>
      </w:r>
      <w:proofErr w:type="spellStart"/>
      <w:r w:rsidRPr="00591F8B">
        <w:rPr>
          <w:rFonts w:eastAsia="Arial" w:cstheme="minorHAnsi"/>
          <w:b/>
          <w:bCs/>
        </w:rPr>
        <w:t>Common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Terminology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Criteria</w:t>
      </w:r>
      <w:proofErr w:type="spellEnd"/>
      <w:r w:rsidRPr="00591F8B">
        <w:rPr>
          <w:rFonts w:eastAsia="Arial" w:cstheme="minorHAnsi"/>
          <w:b/>
          <w:bCs/>
        </w:rPr>
        <w:t xml:space="preserve"> for </w:t>
      </w:r>
      <w:proofErr w:type="spellStart"/>
      <w:r w:rsidRPr="00591F8B">
        <w:rPr>
          <w:rFonts w:eastAsia="Arial" w:cstheme="minorHAnsi"/>
          <w:b/>
          <w:bCs/>
        </w:rPr>
        <w:t>Adverse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Events</w:t>
      </w:r>
      <w:proofErr w:type="spellEnd"/>
      <w:r w:rsidRPr="00591F8B">
        <w:rPr>
          <w:rFonts w:eastAsia="Arial" w:cstheme="minorHAnsi"/>
          <w:b/>
          <w:bCs/>
        </w:rPr>
        <w:t>)</w:t>
      </w:r>
      <w:r w:rsidRPr="00591F8B">
        <w:rPr>
          <w:rFonts w:eastAsia="Arial" w:cstheme="minorHAnsi"/>
        </w:rPr>
        <w:t xml:space="preserve"> – „Powszechne kryteria terminologiczne dla zdarzeń niepożądanych”.</w:t>
      </w:r>
    </w:p>
    <w:p w14:paraId="4C7A9222" w14:textId="77777777" w:rsidR="00825D1D" w:rsidRPr="00591F8B" w:rsidRDefault="00825D1D" w:rsidP="0033607D">
      <w:pPr>
        <w:spacing w:after="0" w:line="276" w:lineRule="auto"/>
        <w:ind w:right="170"/>
        <w:jc w:val="both"/>
        <w:rPr>
          <w:rFonts w:eastAsia="Arial" w:cstheme="minorHAnsi"/>
        </w:rPr>
      </w:pPr>
    </w:p>
    <w:p w14:paraId="0C872104" w14:textId="77777777" w:rsidR="00D70A7E" w:rsidRPr="00591F8B" w:rsidRDefault="00D70A7E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Ze względu na kryterium przyczynowości (czyli domniemany związek pomiędzy produktem badanym a zdarzeniem niepożądanym) podstawową klasyfikacją jest:</w:t>
      </w:r>
    </w:p>
    <w:p w14:paraId="370A5B03" w14:textId="77777777" w:rsidR="00D70A7E" w:rsidRPr="00591F8B" w:rsidRDefault="00D70A7E" w:rsidP="0033607D">
      <w:pPr>
        <w:numPr>
          <w:ilvl w:val="0"/>
          <w:numId w:val="5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związany (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),</w:t>
      </w:r>
    </w:p>
    <w:p w14:paraId="235263A6" w14:textId="77777777" w:rsidR="00D70A7E" w:rsidRPr="00591F8B" w:rsidRDefault="00D70A7E" w:rsidP="0033607D">
      <w:pPr>
        <w:numPr>
          <w:ilvl w:val="0"/>
          <w:numId w:val="5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niezwiązany (not 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 - znana jest i możliwa do wskazania przyczyna zdarzenia niepożądanego i nie jest ono w żaden sposób związane z produktem badanym</w:t>
      </w:r>
    </w:p>
    <w:p w14:paraId="2AC59DD0" w14:textId="3E754A17" w:rsidR="00D70A7E" w:rsidRPr="00591F8B" w:rsidRDefault="00D70A7E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 xml:space="preserve">Związek przyczynowy z produktem leczniczym może być inaczej zdefiniowany </w:t>
      </w:r>
      <w:r w:rsidRPr="00591F8B">
        <w:rPr>
          <w:rFonts w:eastAsia="Arial" w:cstheme="minorHAnsi"/>
          <w:b/>
          <w:bCs/>
        </w:rPr>
        <w:br/>
        <w:t xml:space="preserve">w Protokole danego badania klinicznego, w takiej sytuacji obowiązuje podział opisany </w:t>
      </w:r>
      <w:r w:rsidR="00D602AB" w:rsidRPr="00591F8B">
        <w:rPr>
          <w:rFonts w:eastAsia="Arial" w:cstheme="minorHAnsi"/>
          <w:b/>
          <w:bCs/>
        </w:rPr>
        <w:br/>
      </w:r>
      <w:r w:rsidRPr="00591F8B">
        <w:rPr>
          <w:rFonts w:eastAsia="Arial" w:cstheme="minorHAnsi"/>
          <w:b/>
          <w:bCs/>
        </w:rPr>
        <w:t>w Protokole.</w:t>
      </w:r>
    </w:p>
    <w:p w14:paraId="3E7A1CFA" w14:textId="34A83217" w:rsidR="00D70A7E" w:rsidRPr="00591F8B" w:rsidRDefault="00D70A7E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 xml:space="preserve">Szczegółowe definicje oraz opisy poszczególnych klasyfikacji należy zawsze weryfikować </w:t>
      </w:r>
      <w:r w:rsidR="00D602AB" w:rsidRPr="00591F8B">
        <w:rPr>
          <w:rFonts w:eastAsia="Arial" w:cstheme="minorHAnsi"/>
          <w:b/>
          <w:bCs/>
        </w:rPr>
        <w:br/>
      </w:r>
      <w:r w:rsidRPr="00591F8B">
        <w:rPr>
          <w:rFonts w:eastAsia="Arial" w:cstheme="minorHAnsi"/>
          <w:b/>
          <w:bCs/>
        </w:rPr>
        <w:t>z Protokołem badania i/lub Sponsorem.</w:t>
      </w:r>
    </w:p>
    <w:p w14:paraId="7E82B27B" w14:textId="77777777" w:rsidR="00825D1D" w:rsidRPr="00591F8B" w:rsidRDefault="00825D1D" w:rsidP="0033607D">
      <w:pPr>
        <w:spacing w:after="0" w:line="276" w:lineRule="auto"/>
        <w:ind w:right="170"/>
        <w:jc w:val="both"/>
        <w:rPr>
          <w:rFonts w:eastAsia="Arial" w:cstheme="minorHAnsi"/>
          <w:b/>
          <w:bCs/>
        </w:rPr>
      </w:pPr>
    </w:p>
    <w:p w14:paraId="71F324FF" w14:textId="77777777" w:rsidR="00D70A7E" w:rsidRPr="00591F8B" w:rsidRDefault="00D70A7E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W zależności od zapisów </w:t>
      </w:r>
      <w:r w:rsidRPr="00591F8B">
        <w:rPr>
          <w:rFonts w:eastAsia="Arial" w:cstheme="minorHAnsi"/>
          <w:b/>
          <w:bCs/>
        </w:rPr>
        <w:t>w protokole</w:t>
      </w:r>
      <w:r w:rsidRPr="00591F8B">
        <w:rPr>
          <w:rFonts w:eastAsia="Arial" w:cstheme="minorHAnsi"/>
        </w:rPr>
        <w:t>, klasyfikacja ta może być zdefiniowana inaczej, może być rozszerzona, np. jako:</w:t>
      </w:r>
    </w:p>
    <w:p w14:paraId="17DF2D52" w14:textId="77777777" w:rsidR="00D70A7E" w:rsidRPr="00591F8B" w:rsidRDefault="00D70A7E" w:rsidP="0033607D">
      <w:pPr>
        <w:numPr>
          <w:ilvl w:val="0"/>
          <w:numId w:val="6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lastRenderedPageBreak/>
        <w:t>związany (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),</w:t>
      </w:r>
    </w:p>
    <w:p w14:paraId="67DA5ECE" w14:textId="77777777" w:rsidR="00D70A7E" w:rsidRPr="00591F8B" w:rsidRDefault="00D70A7E" w:rsidP="0033607D">
      <w:pPr>
        <w:numPr>
          <w:ilvl w:val="0"/>
          <w:numId w:val="6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prawdopodobnie związany (</w:t>
      </w:r>
      <w:proofErr w:type="spellStart"/>
      <w:r w:rsidRPr="00591F8B">
        <w:rPr>
          <w:rFonts w:eastAsia="Arial" w:cstheme="minorHAnsi"/>
        </w:rPr>
        <w:t>probably</w:t>
      </w:r>
      <w:proofErr w:type="spellEnd"/>
      <w:r w:rsidRPr="00591F8B">
        <w:rPr>
          <w:rFonts w:eastAsia="Arial" w:cstheme="minorHAnsi"/>
        </w:rPr>
        <w:t xml:space="preserve"> 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),</w:t>
      </w:r>
    </w:p>
    <w:p w14:paraId="3F73F1A2" w14:textId="77777777" w:rsidR="00D70A7E" w:rsidRPr="00591F8B" w:rsidRDefault="00D70A7E" w:rsidP="0033607D">
      <w:pPr>
        <w:numPr>
          <w:ilvl w:val="0"/>
          <w:numId w:val="6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możliwie związany (</w:t>
      </w:r>
      <w:proofErr w:type="spellStart"/>
      <w:r w:rsidRPr="00591F8B">
        <w:rPr>
          <w:rFonts w:eastAsia="Arial" w:cstheme="minorHAnsi"/>
        </w:rPr>
        <w:t>possibly</w:t>
      </w:r>
      <w:proofErr w:type="spellEnd"/>
      <w:r w:rsidRPr="00591F8B">
        <w:rPr>
          <w:rFonts w:eastAsia="Arial" w:cstheme="minorHAnsi"/>
        </w:rPr>
        <w:t xml:space="preserve"> 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),</w:t>
      </w:r>
    </w:p>
    <w:p w14:paraId="5E09A3CC" w14:textId="77777777" w:rsidR="00D70A7E" w:rsidRPr="00591F8B" w:rsidRDefault="00D70A7E" w:rsidP="0033607D">
      <w:pPr>
        <w:numPr>
          <w:ilvl w:val="0"/>
          <w:numId w:val="6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mało prawdopodobnie związany (</w:t>
      </w:r>
      <w:proofErr w:type="spellStart"/>
      <w:r w:rsidRPr="00591F8B">
        <w:rPr>
          <w:rFonts w:eastAsia="Arial" w:cstheme="minorHAnsi"/>
        </w:rPr>
        <w:t>unlikely</w:t>
      </w:r>
      <w:proofErr w:type="spellEnd"/>
      <w:r w:rsidRPr="00591F8B">
        <w:rPr>
          <w:rFonts w:eastAsia="Arial" w:cstheme="minorHAnsi"/>
        </w:rPr>
        <w:t xml:space="preserve"> 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)/ wątpliwie związany (</w:t>
      </w:r>
      <w:proofErr w:type="spellStart"/>
      <w:r w:rsidRPr="00591F8B">
        <w:rPr>
          <w:rFonts w:eastAsia="Arial" w:cstheme="minorHAnsi"/>
        </w:rPr>
        <w:t>doubtful</w:t>
      </w:r>
      <w:proofErr w:type="spellEnd"/>
      <w:r w:rsidRPr="00591F8B">
        <w:rPr>
          <w:rFonts w:eastAsia="Arial" w:cstheme="minorHAnsi"/>
        </w:rPr>
        <w:t xml:space="preserve"> 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),</w:t>
      </w:r>
    </w:p>
    <w:p w14:paraId="32DDC20B" w14:textId="77777777" w:rsidR="00D70A7E" w:rsidRPr="00591F8B" w:rsidRDefault="00D70A7E" w:rsidP="0033607D">
      <w:pPr>
        <w:numPr>
          <w:ilvl w:val="0"/>
          <w:numId w:val="6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niezwiązany (not </w:t>
      </w:r>
      <w:proofErr w:type="spellStart"/>
      <w:r w:rsidRPr="00591F8B">
        <w:rPr>
          <w:rFonts w:eastAsia="Arial" w:cstheme="minorHAnsi"/>
        </w:rPr>
        <w:t>related</w:t>
      </w:r>
      <w:proofErr w:type="spellEnd"/>
      <w:r w:rsidRPr="00591F8B">
        <w:rPr>
          <w:rFonts w:eastAsia="Arial" w:cstheme="minorHAnsi"/>
        </w:rPr>
        <w:t>)</w:t>
      </w:r>
    </w:p>
    <w:p w14:paraId="27799A4E" w14:textId="77777777" w:rsidR="00AD1E21" w:rsidRPr="00591F8B" w:rsidRDefault="00AD1E21" w:rsidP="0033607D">
      <w:pPr>
        <w:spacing w:after="0" w:line="276" w:lineRule="auto"/>
        <w:ind w:left="360" w:right="170"/>
        <w:jc w:val="both"/>
        <w:rPr>
          <w:rFonts w:eastAsia="Arial" w:cstheme="minorHAnsi"/>
        </w:rPr>
      </w:pPr>
    </w:p>
    <w:p w14:paraId="41C00540" w14:textId="78566ACF" w:rsidR="00D70A7E" w:rsidRPr="00591F8B" w:rsidRDefault="00DB0BE1" w:rsidP="0033607D">
      <w:pPr>
        <w:pStyle w:val="Akapitzlist"/>
        <w:numPr>
          <w:ilvl w:val="1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Ciężkie</w:t>
      </w:r>
      <w:r w:rsidR="00D70A7E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zdarzenie niepożądane (SAE - </w:t>
      </w:r>
      <w:proofErr w:type="spellStart"/>
      <w:r w:rsidR="00D70A7E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Serious</w:t>
      </w:r>
      <w:proofErr w:type="spellEnd"/>
      <w:r w:rsidR="00D70A7E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70A7E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Adverse</w:t>
      </w:r>
      <w:proofErr w:type="spellEnd"/>
      <w:r w:rsidR="00D70A7E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Event) </w:t>
      </w:r>
      <w:r w:rsidR="00D70A7E" w:rsidRPr="00591F8B">
        <w:rPr>
          <w:rFonts w:eastAsia="Arial" w:cstheme="minorHAnsi"/>
        </w:rPr>
        <w:t>- jest to każde zdarzenie</w:t>
      </w:r>
      <w:r w:rsidRPr="00591F8B">
        <w:rPr>
          <w:rFonts w:eastAsia="Arial" w:cstheme="minorHAnsi"/>
        </w:rPr>
        <w:t xml:space="preserve"> natury medycznej</w:t>
      </w:r>
      <w:r w:rsidR="00D70A7E" w:rsidRPr="00591F8B">
        <w:rPr>
          <w:rFonts w:eastAsia="Arial" w:cstheme="minorHAnsi"/>
        </w:rPr>
        <w:t xml:space="preserve">, które bez względu na zastosowaną dawkę </w:t>
      </w:r>
      <w:r w:rsidRPr="00591F8B">
        <w:rPr>
          <w:rFonts w:eastAsia="Arial" w:cstheme="minorHAnsi"/>
        </w:rPr>
        <w:t>leku</w:t>
      </w:r>
      <w:r w:rsidR="00D70A7E" w:rsidRPr="00591F8B">
        <w:rPr>
          <w:rFonts w:eastAsia="Arial" w:cstheme="minorHAnsi"/>
        </w:rPr>
        <w:t xml:space="preserve"> powoduje:</w:t>
      </w:r>
    </w:p>
    <w:p w14:paraId="7E964502" w14:textId="5CF7206D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zgon pacjenta,</w:t>
      </w:r>
    </w:p>
    <w:p w14:paraId="65E258FB" w14:textId="1DFA4397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zagrożenie życia (oznacza, że Uczestnik biorący udział w badaniu jest zagrożony </w:t>
      </w:r>
      <w:r w:rsidR="00406AA3" w:rsidRPr="00591F8B">
        <w:rPr>
          <w:rFonts w:eastAsia="Arial" w:cstheme="minorHAnsi"/>
        </w:rPr>
        <w:t xml:space="preserve">   </w:t>
      </w:r>
      <w:r w:rsidRPr="00591F8B">
        <w:rPr>
          <w:rFonts w:eastAsia="Arial" w:cstheme="minorHAnsi"/>
        </w:rPr>
        <w:t>bezpośrednim ryzykiem zgonu z powodu danego zdarzenia niepożądanego),</w:t>
      </w:r>
    </w:p>
    <w:p w14:paraId="377C8DBE" w14:textId="0108FA49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zagrożenie zdrowia,</w:t>
      </w:r>
    </w:p>
    <w:p w14:paraId="405695D4" w14:textId="6B7FAA79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konieczność hospitalizacji lub przedłużenie trwającej hospitalizacji, </w:t>
      </w:r>
    </w:p>
    <w:p w14:paraId="54BEBDC1" w14:textId="0DE2BC0C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trwały lub znaczny uszczerbek na zdrowiu,</w:t>
      </w:r>
    </w:p>
    <w:p w14:paraId="348289DA" w14:textId="274A74D6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wadę wrodzoną lub uszkodzenie okołoporodowe</w:t>
      </w:r>
      <w:r w:rsidRPr="00591F8B">
        <w:rPr>
          <w:vertAlign w:val="superscript"/>
        </w:rPr>
        <w:footnoteReference w:id="1"/>
      </w:r>
      <w:r w:rsidRPr="00591F8B">
        <w:rPr>
          <w:rFonts w:eastAsia="Arial" w:cstheme="minorHAnsi"/>
        </w:rPr>
        <w:t>,</w:t>
      </w:r>
    </w:p>
    <w:p w14:paraId="0EEF49E3" w14:textId="00C34C13" w:rsidR="00D70A7E" w:rsidRPr="00591F8B" w:rsidRDefault="00D70A7E" w:rsidP="0033607D">
      <w:pPr>
        <w:pStyle w:val="Akapitzlist"/>
        <w:numPr>
          <w:ilvl w:val="0"/>
          <w:numId w:val="22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inne niż wyżej wymienione zdarzenie, istotne medycznie w ocenie badacza.</w:t>
      </w:r>
    </w:p>
    <w:p w14:paraId="5FEDF8FF" w14:textId="77777777" w:rsidR="00F27BC5" w:rsidRPr="00591F8B" w:rsidRDefault="00F27BC5" w:rsidP="0033607D">
      <w:pPr>
        <w:spacing w:after="0" w:line="276" w:lineRule="auto"/>
        <w:ind w:right="170"/>
        <w:jc w:val="both"/>
        <w:rPr>
          <w:rFonts w:eastAsia="Arial" w:cstheme="minorHAnsi"/>
        </w:rPr>
      </w:pPr>
    </w:p>
    <w:p w14:paraId="698520CB" w14:textId="178B0883" w:rsidR="00F27BC5" w:rsidRPr="00591F8B" w:rsidRDefault="0063685F" w:rsidP="0033607D">
      <w:pPr>
        <w:spacing w:before="120" w:after="0" w:line="276" w:lineRule="auto"/>
        <w:ind w:left="4"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Zdarzenia niepożądane/ reakcje, które nie stanowią bezpośredniego zagrożenia życia, nie wymagają hospitalizacji, lub nie powodują </w:t>
      </w:r>
      <w:r w:rsidR="008C3B15" w:rsidRPr="00591F8B">
        <w:rPr>
          <w:rFonts w:eastAsia="Arial" w:cstheme="minorHAnsi"/>
        </w:rPr>
        <w:t>zgonu,</w:t>
      </w:r>
      <w:r w:rsidRPr="00591F8B">
        <w:rPr>
          <w:rFonts w:eastAsia="Arial" w:cstheme="minorHAnsi"/>
        </w:rPr>
        <w:t xml:space="preserve"> ale mogą zagrozić życiu lub mogą wymagać interwencji, </w:t>
      </w:r>
      <w:r w:rsidRPr="00591F8B">
        <w:rPr>
          <w:rFonts w:eastAsia="Arial" w:cstheme="minorHAnsi"/>
          <w:b/>
          <w:bCs/>
        </w:rPr>
        <w:t>należy rozważyć jako</w:t>
      </w:r>
      <w:r w:rsidR="00DF416D" w:rsidRPr="00591F8B">
        <w:rPr>
          <w:rFonts w:eastAsia="Arial" w:cstheme="minorHAnsi"/>
          <w:b/>
          <w:bCs/>
        </w:rPr>
        <w:t xml:space="preserve"> ciężkie</w:t>
      </w:r>
      <w:r w:rsidRPr="00591F8B">
        <w:rPr>
          <w:rFonts w:eastAsia="Arial" w:cstheme="minorHAnsi"/>
          <w:b/>
          <w:bCs/>
        </w:rPr>
        <w:t xml:space="preserve"> </w:t>
      </w:r>
      <w:r w:rsidR="00DF416D" w:rsidRPr="00591F8B">
        <w:rPr>
          <w:rFonts w:eastAsia="Arial" w:cstheme="minorHAnsi"/>
          <w:b/>
          <w:bCs/>
        </w:rPr>
        <w:t>(</w:t>
      </w:r>
      <w:r w:rsidRPr="00591F8B">
        <w:rPr>
          <w:rFonts w:eastAsia="Arial" w:cstheme="minorHAnsi"/>
          <w:b/>
          <w:bCs/>
        </w:rPr>
        <w:t>poważne</w:t>
      </w:r>
      <w:r w:rsidR="00DF416D" w:rsidRPr="00591F8B">
        <w:rPr>
          <w:rFonts w:eastAsia="Arial" w:cstheme="minorHAnsi"/>
          <w:b/>
          <w:bCs/>
        </w:rPr>
        <w:t>)</w:t>
      </w:r>
      <w:r w:rsidRPr="00591F8B">
        <w:rPr>
          <w:rFonts w:eastAsia="Arial" w:cstheme="minorHAnsi"/>
        </w:rPr>
        <w:t xml:space="preserve"> aby zapobiec możliwym skutkom wymienionym w</w:t>
      </w:r>
      <w:r w:rsidR="007F5AD8">
        <w:rPr>
          <w:rFonts w:eastAsia="Arial" w:cstheme="minorHAnsi"/>
        </w:rPr>
        <w:t> </w:t>
      </w:r>
      <w:r w:rsidRPr="00591F8B">
        <w:rPr>
          <w:rFonts w:eastAsia="Arial" w:cstheme="minorHAnsi"/>
        </w:rPr>
        <w:t>powyższej definicji.</w:t>
      </w:r>
      <w:r w:rsidR="00F27BC5" w:rsidRPr="00591F8B">
        <w:rPr>
          <w:rFonts w:eastAsia="Arial" w:cstheme="minorHAnsi"/>
        </w:rPr>
        <w:t xml:space="preserve"> </w:t>
      </w:r>
      <w:r w:rsidR="00F27BC5" w:rsidRPr="002C2F4C">
        <w:rPr>
          <w:rFonts w:eastAsia="Arial" w:cstheme="minorHAnsi"/>
        </w:rPr>
        <w:t>Dodatkowo w protokole badania mogą być wymienione szczegółowe definicje SAE</w:t>
      </w:r>
      <w:r w:rsidR="009A3D50" w:rsidRPr="002C2F4C">
        <w:rPr>
          <w:rFonts w:eastAsia="Arial" w:cstheme="minorHAnsi"/>
        </w:rPr>
        <w:t>, dlatego w</w:t>
      </w:r>
      <w:r w:rsidR="00F27BC5" w:rsidRPr="002C2F4C">
        <w:rPr>
          <w:rFonts w:eastAsia="Arial" w:cstheme="minorHAnsi"/>
        </w:rPr>
        <w:t xml:space="preserve"> przypadku wystąpienia każdego AE należy zawsze zweryfikować</w:t>
      </w:r>
      <w:r w:rsidR="009A3D50" w:rsidRPr="002C2F4C">
        <w:rPr>
          <w:rFonts w:eastAsia="Arial" w:cstheme="minorHAnsi"/>
        </w:rPr>
        <w:t xml:space="preserve"> je</w:t>
      </w:r>
      <w:r w:rsidR="00F27BC5" w:rsidRPr="002C2F4C">
        <w:rPr>
          <w:rFonts w:eastAsia="Arial" w:cstheme="minorHAnsi"/>
        </w:rPr>
        <w:t xml:space="preserve"> z Protokołem badania i/lub Sponsorem.</w:t>
      </w:r>
    </w:p>
    <w:p w14:paraId="16B29F20" w14:textId="77777777" w:rsidR="002642B2" w:rsidRPr="00591F8B" w:rsidRDefault="002642B2" w:rsidP="0033607D">
      <w:pPr>
        <w:spacing w:after="0"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2B0F15A3" w14:textId="6EFA2684" w:rsidR="00F27BC5" w:rsidRPr="00591F8B" w:rsidRDefault="002642B2" w:rsidP="0033607D">
      <w:pPr>
        <w:spacing w:line="276" w:lineRule="auto"/>
        <w:jc w:val="both"/>
        <w:rPr>
          <w:rFonts w:eastAsia="Aptos" w:cstheme="minorHAnsi"/>
          <w:kern w:val="2"/>
          <w14:ligatures w14:val="standardContextual"/>
        </w:rPr>
      </w:pPr>
      <w:r w:rsidRPr="00591F8B">
        <w:rPr>
          <w:rFonts w:eastAsia="Aptos" w:cstheme="minorHAnsi"/>
          <w:kern w:val="2"/>
          <w14:ligatures w14:val="standardContextual"/>
        </w:rPr>
        <w:t xml:space="preserve">Zdarzenie niepożądane o szczególnym znaczeniu - </w:t>
      </w:r>
      <w:proofErr w:type="spellStart"/>
      <w:r w:rsidRPr="00591F8B">
        <w:rPr>
          <w:rFonts w:eastAsia="Aptos" w:cstheme="minorHAnsi"/>
          <w:kern w:val="2"/>
          <w14:ligatures w14:val="standardContextual"/>
        </w:rPr>
        <w:t>Adverse</w:t>
      </w:r>
      <w:proofErr w:type="spellEnd"/>
      <w:r w:rsidRPr="00591F8B">
        <w:rPr>
          <w:rFonts w:eastAsia="Aptos" w:cstheme="minorHAnsi"/>
          <w:kern w:val="2"/>
          <w14:ligatures w14:val="standardContextual"/>
        </w:rPr>
        <w:t xml:space="preserve"> event of </w:t>
      </w:r>
      <w:proofErr w:type="spellStart"/>
      <w:r w:rsidRPr="00591F8B">
        <w:rPr>
          <w:rFonts w:eastAsia="Aptos" w:cstheme="minorHAnsi"/>
          <w:kern w:val="2"/>
          <w14:ligatures w14:val="standardContextual"/>
        </w:rPr>
        <w:t>special</w:t>
      </w:r>
      <w:proofErr w:type="spellEnd"/>
      <w:r w:rsidRPr="00591F8B">
        <w:rPr>
          <w:rFonts w:eastAsia="Aptos" w:cstheme="minorHAnsi"/>
          <w:kern w:val="2"/>
          <w14:ligatures w14:val="standardContextual"/>
        </w:rPr>
        <w:t xml:space="preserve"> </w:t>
      </w:r>
      <w:proofErr w:type="spellStart"/>
      <w:r w:rsidRPr="00591F8B">
        <w:rPr>
          <w:rFonts w:eastAsia="Aptos" w:cstheme="minorHAnsi"/>
          <w:kern w:val="2"/>
          <w14:ligatures w14:val="standardContextual"/>
        </w:rPr>
        <w:t>interest</w:t>
      </w:r>
      <w:proofErr w:type="spellEnd"/>
      <w:r w:rsidRPr="00591F8B">
        <w:rPr>
          <w:rFonts w:eastAsia="Aptos" w:cstheme="minorHAnsi"/>
          <w:kern w:val="2"/>
          <w14:ligatures w14:val="standardContextual"/>
        </w:rPr>
        <w:t xml:space="preserve"> (AESI) - zdarzenie (poważne lub nie) o charakterze naukowym i medycznym, specyficzne dla produktu lub programu sponsora, w przypadku którego właściwe może być bieżące monitorowanie i</w:t>
      </w:r>
      <w:r w:rsidR="00017D78" w:rsidRPr="00591F8B">
        <w:rPr>
          <w:rFonts w:eastAsia="Aptos" w:cstheme="minorHAnsi"/>
          <w:kern w:val="2"/>
          <w14:ligatures w14:val="standardContextual"/>
        </w:rPr>
        <w:t> </w:t>
      </w:r>
      <w:r w:rsidRPr="00591F8B">
        <w:rPr>
          <w:rFonts w:eastAsia="Aptos" w:cstheme="minorHAnsi"/>
          <w:kern w:val="2"/>
          <w14:ligatures w14:val="standardContextual"/>
        </w:rPr>
        <w:t>szybkie przekazywanie informacji sponsorowi przez badacza. Takie zdarzenie może wymagać dalszego badania w celu jego scharakteryzowania i zrozumienia. W zależności od charakteru zdarzenia, uzasadnione może być również szybkie przekazanie informacji przez sponsora badania innym stronom (np. organom regulacyjnym) (na podstawie CIOMS VI; patrz ICH E2F).</w:t>
      </w:r>
    </w:p>
    <w:p w14:paraId="282BC6B7" w14:textId="63300F55" w:rsidR="00DB0BE1" w:rsidRPr="00591F8B" w:rsidRDefault="00F27BC5" w:rsidP="0033607D">
      <w:pPr>
        <w:shd w:val="clear" w:color="auto" w:fill="FFFFFF"/>
        <w:spacing w:after="0" w:line="336" w:lineRule="atLeast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>Art.</w:t>
      </w:r>
      <w:r w:rsidR="005A634A" w:rsidRPr="00591F8B">
        <w:rPr>
          <w:rFonts w:eastAsia="Arial" w:cstheme="minorHAnsi"/>
          <w:b/>
          <w:bCs/>
        </w:rPr>
        <w:t xml:space="preserve"> </w:t>
      </w:r>
      <w:r w:rsidRPr="00591F8B">
        <w:rPr>
          <w:rFonts w:eastAsia="Arial" w:cstheme="minorHAnsi"/>
          <w:b/>
          <w:bCs/>
        </w:rPr>
        <w:t xml:space="preserve">41 pkt.4 </w:t>
      </w:r>
      <w:r w:rsidR="00D602AB" w:rsidRPr="00591F8B">
        <w:rPr>
          <w:rFonts w:eastAsia="Arial" w:cstheme="minorHAnsi"/>
          <w:b/>
          <w:bCs/>
        </w:rPr>
        <w:t>Rozporządzenia Parlamentu Europejskiego i Rady (UE) NR 536/2014</w:t>
      </w:r>
      <w:r w:rsidR="00E35F0F" w:rsidRPr="00591F8B">
        <w:rPr>
          <w:rFonts w:eastAsia="Arial" w:cstheme="minorHAnsi"/>
          <w:b/>
          <w:bCs/>
        </w:rPr>
        <w:t xml:space="preserve"> </w:t>
      </w:r>
      <w:r w:rsidR="00D602AB" w:rsidRPr="00591F8B">
        <w:rPr>
          <w:rFonts w:eastAsia="Arial" w:cstheme="minorHAnsi"/>
          <w:b/>
          <w:bCs/>
        </w:rPr>
        <w:t>z dnia 16 kwietnia 2014 r. w sprawie badań klinicznych produktów leczniczych stosowanych u ludzi oraz uchylenia dyrektywy 2001/20/WE</w:t>
      </w:r>
      <w:r w:rsidR="00DB0BE1" w:rsidRPr="00591F8B">
        <w:rPr>
          <w:rFonts w:eastAsia="Arial" w:cstheme="minorHAnsi"/>
          <w:b/>
          <w:bCs/>
        </w:rPr>
        <w:t>:</w:t>
      </w:r>
    </w:p>
    <w:p w14:paraId="6738458A" w14:textId="594AD05D" w:rsidR="00AD1E21" w:rsidRPr="00591F8B" w:rsidRDefault="00F27BC5" w:rsidP="0033607D">
      <w:pPr>
        <w:shd w:val="clear" w:color="auto" w:fill="FFFFFF"/>
        <w:spacing w:after="0" w:line="336" w:lineRule="atLeast"/>
        <w:jc w:val="both"/>
        <w:rPr>
          <w:rFonts w:ascii="Arial" w:eastAsia="Times New Roman" w:hAnsi="Arial" w:cs="Times New Roman"/>
          <w:lang w:eastAsia="pl-PL"/>
        </w:rPr>
      </w:pPr>
      <w:r w:rsidRPr="00591F8B">
        <w:rPr>
          <w:rFonts w:eastAsia="Arial" w:cstheme="minorHAnsi"/>
          <w:b/>
          <w:bCs/>
        </w:rPr>
        <w:lastRenderedPageBreak/>
        <w:t xml:space="preserve">Jeśli badacz dowie się o </w:t>
      </w:r>
      <w:r w:rsidR="00BB5200" w:rsidRPr="00591F8B">
        <w:rPr>
          <w:rFonts w:eastAsia="Arial" w:cstheme="minorHAnsi"/>
          <w:b/>
          <w:bCs/>
        </w:rPr>
        <w:t>ciężkim (</w:t>
      </w:r>
      <w:r w:rsidRPr="00591F8B">
        <w:rPr>
          <w:rFonts w:eastAsia="Arial" w:cstheme="minorHAnsi"/>
          <w:b/>
          <w:bCs/>
        </w:rPr>
        <w:t>poważnym</w:t>
      </w:r>
      <w:r w:rsidR="00BB5200" w:rsidRPr="00591F8B">
        <w:rPr>
          <w:rFonts w:eastAsia="Arial" w:cstheme="minorHAnsi"/>
          <w:b/>
          <w:bCs/>
        </w:rPr>
        <w:t>)</w:t>
      </w:r>
      <w:r w:rsidRPr="00591F8B">
        <w:rPr>
          <w:rFonts w:eastAsia="Arial" w:cstheme="minorHAnsi"/>
          <w:b/>
          <w:bCs/>
        </w:rPr>
        <w:t xml:space="preserve"> zdarzeniu niepożądanym, mogącym mieć skutki dla badanego produktu leczniczego, które to zdarzenie wystąpiło po zakończeniu badania klinicznego u</w:t>
      </w:r>
      <w:r w:rsidR="007F5AD8">
        <w:rPr>
          <w:rFonts w:eastAsia="Arial" w:cstheme="minorHAnsi"/>
          <w:b/>
          <w:bCs/>
        </w:rPr>
        <w:t> </w:t>
      </w:r>
      <w:r w:rsidRPr="00591F8B">
        <w:rPr>
          <w:rFonts w:eastAsia="Arial" w:cstheme="minorHAnsi"/>
          <w:b/>
          <w:bCs/>
        </w:rPr>
        <w:t xml:space="preserve">uczestnika prowadzonego przez niego badania, badacz bez zbędnej zwłoki zgłasza to </w:t>
      </w:r>
      <w:r w:rsidR="00BB5200" w:rsidRPr="00591F8B">
        <w:rPr>
          <w:rFonts w:eastAsia="Arial" w:cstheme="minorHAnsi"/>
          <w:b/>
          <w:bCs/>
        </w:rPr>
        <w:t>ciężkie (</w:t>
      </w:r>
      <w:r w:rsidRPr="00591F8B">
        <w:rPr>
          <w:rFonts w:eastAsia="Arial" w:cstheme="minorHAnsi"/>
          <w:b/>
          <w:bCs/>
        </w:rPr>
        <w:t>poważne</w:t>
      </w:r>
      <w:r w:rsidR="00BB5200" w:rsidRPr="00591F8B">
        <w:rPr>
          <w:rFonts w:eastAsia="Arial" w:cstheme="minorHAnsi"/>
          <w:b/>
          <w:bCs/>
        </w:rPr>
        <w:t>)</w:t>
      </w:r>
      <w:r w:rsidRPr="00591F8B">
        <w:rPr>
          <w:rFonts w:eastAsia="Arial" w:cstheme="minorHAnsi"/>
          <w:b/>
          <w:bCs/>
        </w:rPr>
        <w:t xml:space="preserve"> zdarzenie niepożądane </w:t>
      </w:r>
      <w:r w:rsidR="00AD428A" w:rsidRPr="00591F8B">
        <w:rPr>
          <w:rFonts w:eastAsia="Arial" w:cstheme="minorHAnsi"/>
          <w:b/>
          <w:bCs/>
        </w:rPr>
        <w:t>S</w:t>
      </w:r>
      <w:r w:rsidRPr="00591F8B">
        <w:rPr>
          <w:rFonts w:eastAsia="Arial" w:cstheme="minorHAnsi"/>
          <w:b/>
          <w:bCs/>
        </w:rPr>
        <w:t>ponsorowi</w:t>
      </w:r>
      <w:r w:rsidR="0063685F" w:rsidRPr="00591F8B">
        <w:rPr>
          <w:rFonts w:ascii="Arial" w:eastAsia="Times New Roman" w:hAnsi="Arial" w:cs="Times New Roman"/>
          <w:lang w:eastAsia="pl-PL"/>
        </w:rPr>
        <w:t xml:space="preserve"> </w:t>
      </w:r>
    </w:p>
    <w:p w14:paraId="330DB445" w14:textId="77777777" w:rsidR="00AD1E21" w:rsidRPr="00591F8B" w:rsidRDefault="00AD1E21" w:rsidP="0033607D">
      <w:pPr>
        <w:shd w:val="clear" w:color="auto" w:fill="FFFFFF"/>
        <w:spacing w:after="0" w:line="336" w:lineRule="atLeast"/>
        <w:jc w:val="both"/>
        <w:rPr>
          <w:rFonts w:ascii="Arial" w:eastAsia="Times New Roman" w:hAnsi="Arial" w:cs="Times New Roman"/>
          <w:lang w:eastAsia="pl-PL"/>
        </w:rPr>
      </w:pPr>
    </w:p>
    <w:p w14:paraId="43FD0812" w14:textId="71E71D6A" w:rsidR="0063685F" w:rsidRPr="00591F8B" w:rsidRDefault="0063685F" w:rsidP="0033607D">
      <w:pPr>
        <w:shd w:val="clear" w:color="auto" w:fill="FFFFFF"/>
        <w:spacing w:after="0" w:line="336" w:lineRule="atLeast"/>
        <w:jc w:val="both"/>
        <w:rPr>
          <w:rFonts w:eastAsia="Arial" w:cstheme="minorHAnsi"/>
          <w:u w:val="single"/>
        </w:rPr>
      </w:pPr>
      <w:r w:rsidRPr="00591F8B">
        <w:rPr>
          <w:rFonts w:eastAsia="Arial" w:cstheme="minorHAnsi"/>
          <w:u w:val="single"/>
        </w:rPr>
        <w:t xml:space="preserve">Kryteria </w:t>
      </w:r>
      <w:r w:rsidR="008C3B15" w:rsidRPr="00591F8B">
        <w:rPr>
          <w:rFonts w:eastAsia="Arial" w:cstheme="minorHAnsi"/>
          <w:u w:val="single"/>
        </w:rPr>
        <w:t>oceny przyczynowości</w:t>
      </w:r>
      <w:r w:rsidRPr="00591F8B">
        <w:rPr>
          <w:rFonts w:eastAsia="Arial" w:cstheme="minorHAnsi"/>
          <w:u w:val="single"/>
        </w:rPr>
        <w:t xml:space="preserve"> </w:t>
      </w:r>
      <w:r w:rsidR="00AD428A" w:rsidRPr="00591F8B">
        <w:rPr>
          <w:rFonts w:eastAsia="Arial" w:cstheme="minorHAnsi"/>
          <w:u w:val="single"/>
        </w:rPr>
        <w:t>ciężkiego (</w:t>
      </w:r>
      <w:r w:rsidRPr="00591F8B">
        <w:rPr>
          <w:rFonts w:eastAsia="Arial" w:cstheme="minorHAnsi"/>
          <w:u w:val="single"/>
        </w:rPr>
        <w:t>poważnego</w:t>
      </w:r>
      <w:r w:rsidR="00AD428A" w:rsidRPr="00591F8B">
        <w:rPr>
          <w:rFonts w:eastAsia="Arial" w:cstheme="minorHAnsi"/>
          <w:u w:val="single"/>
        </w:rPr>
        <w:t>)</w:t>
      </w:r>
      <w:r w:rsidRPr="00591F8B">
        <w:rPr>
          <w:rFonts w:eastAsia="Arial" w:cstheme="minorHAnsi"/>
          <w:u w:val="single"/>
        </w:rPr>
        <w:t xml:space="preserve"> zdarzenia niepożądanego (SAE) są analogiczne jak dla oceny zdarzenia niepożądanego (AE).</w:t>
      </w:r>
    </w:p>
    <w:p w14:paraId="7D7503D7" w14:textId="77777777" w:rsidR="005A634A" w:rsidRPr="00591F8B" w:rsidRDefault="005A634A" w:rsidP="0033607D">
      <w:pPr>
        <w:shd w:val="clear" w:color="auto" w:fill="FFFFFF"/>
        <w:spacing w:after="0" w:line="336" w:lineRule="atLeast"/>
        <w:jc w:val="both"/>
        <w:rPr>
          <w:rFonts w:eastAsia="Arial" w:cstheme="minorHAnsi"/>
          <w:b/>
          <w:bCs/>
        </w:rPr>
      </w:pPr>
    </w:p>
    <w:p w14:paraId="4CAF7950" w14:textId="3CD6061C" w:rsidR="0063685F" w:rsidRPr="00591F8B" w:rsidRDefault="0063685F" w:rsidP="0033607D">
      <w:pPr>
        <w:pStyle w:val="Akapitzlist"/>
        <w:keepNext/>
        <w:numPr>
          <w:ilvl w:val="1"/>
          <w:numId w:val="41"/>
        </w:numPr>
        <w:spacing w:after="0" w:line="360" w:lineRule="auto"/>
        <w:ind w:right="170"/>
        <w:jc w:val="both"/>
        <w:outlineLvl w:val="2"/>
        <w:rPr>
          <w:rStyle w:val="Nagwek2Znak"/>
          <w:rFonts w:asciiTheme="minorHAnsi" w:hAnsiTheme="minorHAnsi" w:cstheme="minorHAnsi"/>
          <w:b/>
          <w:bCs/>
          <w:sz w:val="22"/>
          <w:szCs w:val="22"/>
        </w:rPr>
      </w:pP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Działanie niepożądane produktu leczniczego (ADR - </w:t>
      </w:r>
      <w:proofErr w:type="spellStart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Adverse</w:t>
      </w:r>
      <w:proofErr w:type="spellEnd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Drug</w:t>
      </w:r>
      <w:proofErr w:type="spellEnd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Reaction</w:t>
      </w:r>
      <w:proofErr w:type="spellEnd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53BD9F37" w14:textId="77777777" w:rsidR="008C3B15" w:rsidRPr="00591F8B" w:rsidRDefault="0063685F" w:rsidP="0033607D">
      <w:pPr>
        <w:keepNext/>
        <w:spacing w:after="0" w:line="276" w:lineRule="auto"/>
        <w:ind w:left="256" w:right="170" w:hanging="114"/>
        <w:jc w:val="both"/>
        <w:outlineLvl w:val="2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W doświadczeniach klinicznych</w:t>
      </w:r>
      <w:r w:rsidRPr="00591F8B">
        <w:rPr>
          <w:rFonts w:eastAsia="Arial" w:cstheme="minorHAnsi"/>
        </w:rPr>
        <w:t xml:space="preserve"> poprzedzających rejestrację nowego produktu</w:t>
      </w:r>
      <w:r w:rsidR="005A634A" w:rsidRPr="00591F8B">
        <w:rPr>
          <w:rFonts w:eastAsia="Arial" w:cstheme="minorHAnsi"/>
        </w:rPr>
        <w:t xml:space="preserve"> leczniczego</w:t>
      </w:r>
    </w:p>
    <w:p w14:paraId="0D540E58" w14:textId="77777777" w:rsidR="008C3B15" w:rsidRPr="00591F8B" w:rsidRDefault="0063685F" w:rsidP="008C3B15">
      <w:pPr>
        <w:keepNext/>
        <w:spacing w:after="0" w:line="276" w:lineRule="auto"/>
        <w:ind w:left="256" w:right="170" w:hanging="114"/>
        <w:jc w:val="both"/>
        <w:outlineLvl w:val="2"/>
        <w:rPr>
          <w:rFonts w:eastAsia="Arial" w:cstheme="minorHAnsi"/>
        </w:rPr>
      </w:pPr>
      <w:r w:rsidRPr="00591F8B">
        <w:rPr>
          <w:rFonts w:eastAsia="Arial" w:cstheme="minorHAnsi"/>
        </w:rPr>
        <w:t>lub dotyczących nowego zastosowania znanego leku, szczególnie</w:t>
      </w:r>
      <w:r w:rsidR="008C3B15" w:rsidRPr="00591F8B">
        <w:rPr>
          <w:rFonts w:eastAsia="Arial" w:cstheme="minorHAnsi"/>
        </w:rPr>
        <w:t xml:space="preserve"> </w:t>
      </w:r>
      <w:r w:rsidRPr="00591F8B">
        <w:rPr>
          <w:rFonts w:eastAsia="Arial" w:cstheme="minorHAnsi"/>
        </w:rPr>
        <w:t>gdy nie została określona</w:t>
      </w:r>
    </w:p>
    <w:p w14:paraId="63EB4E9F" w14:textId="77777777" w:rsidR="008C3B15" w:rsidRPr="00591F8B" w:rsidRDefault="0063685F" w:rsidP="008C3B15">
      <w:pPr>
        <w:keepNext/>
        <w:spacing w:after="0" w:line="276" w:lineRule="auto"/>
        <w:ind w:left="256" w:right="170" w:hanging="114"/>
        <w:jc w:val="both"/>
        <w:outlineLvl w:val="2"/>
        <w:rPr>
          <w:rFonts w:eastAsia="Arial" w:cstheme="minorHAnsi"/>
        </w:rPr>
      </w:pPr>
      <w:r w:rsidRPr="00591F8B">
        <w:rPr>
          <w:rFonts w:eastAsia="Arial" w:cstheme="minorHAnsi"/>
        </w:rPr>
        <w:t>jego dawka terapeutyczna: jest to każda szkodliwa</w:t>
      </w:r>
      <w:r w:rsidR="008C3B15" w:rsidRPr="00591F8B">
        <w:rPr>
          <w:rFonts w:eastAsia="Arial" w:cstheme="minorHAnsi"/>
        </w:rPr>
        <w:t xml:space="preserve"> </w:t>
      </w:r>
      <w:r w:rsidRPr="00591F8B">
        <w:rPr>
          <w:rFonts w:eastAsia="Arial" w:cstheme="minorHAnsi"/>
        </w:rPr>
        <w:t>i niezamierzona reakcja/odpowiedź na</w:t>
      </w:r>
    </w:p>
    <w:p w14:paraId="02CDDEF0" w14:textId="0F55A6C3" w:rsidR="0063685F" w:rsidRPr="00591F8B" w:rsidRDefault="0063685F" w:rsidP="008C3B15">
      <w:pPr>
        <w:keepNext/>
        <w:spacing w:after="0" w:line="276" w:lineRule="auto"/>
        <w:ind w:left="256" w:right="170" w:hanging="114"/>
        <w:jc w:val="both"/>
        <w:outlineLvl w:val="2"/>
        <w:rPr>
          <w:rFonts w:eastAsia="Arial" w:cstheme="minorHAnsi"/>
        </w:rPr>
      </w:pPr>
      <w:r w:rsidRPr="00591F8B">
        <w:rPr>
          <w:rFonts w:eastAsia="Arial" w:cstheme="minorHAnsi"/>
        </w:rPr>
        <w:t>produkt, która występuje przy jakiejkolwiek dawce.</w:t>
      </w:r>
    </w:p>
    <w:p w14:paraId="2EEE4DBE" w14:textId="7592235B" w:rsidR="0063685F" w:rsidRPr="00591F8B" w:rsidRDefault="0063685F" w:rsidP="0033607D">
      <w:pPr>
        <w:keepNext/>
        <w:spacing w:before="240" w:after="60" w:line="276" w:lineRule="auto"/>
        <w:ind w:left="142" w:right="170"/>
        <w:jc w:val="both"/>
        <w:outlineLvl w:val="2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Sformułowanie „reakcja/odpowiedź na produkt” w powyższej definicji oznacza, że związek </w:t>
      </w:r>
      <w:proofErr w:type="spellStart"/>
      <w:r w:rsidRPr="00591F8B">
        <w:rPr>
          <w:rFonts w:eastAsia="Arial" w:cstheme="minorHAnsi"/>
        </w:rPr>
        <w:t>przyczynowo-skutkowy</w:t>
      </w:r>
      <w:proofErr w:type="spellEnd"/>
      <w:r w:rsidRPr="00591F8B">
        <w:rPr>
          <w:rFonts w:eastAsia="Arial" w:cstheme="minorHAnsi"/>
        </w:rPr>
        <w:t xml:space="preserve"> pomiędzy produktem medycznym a zdarzeniem niepożądanym jest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  <w:b/>
          <w:bCs/>
        </w:rPr>
        <w:t>co</w:t>
      </w:r>
      <w:r w:rsidR="007F5AD8">
        <w:rPr>
          <w:rFonts w:eastAsia="Arial" w:cstheme="minorHAnsi"/>
          <w:b/>
          <w:bCs/>
        </w:rPr>
        <w:t> </w:t>
      </w:r>
      <w:r w:rsidRPr="00591F8B">
        <w:rPr>
          <w:rFonts w:eastAsia="Arial" w:cstheme="minorHAnsi"/>
          <w:b/>
          <w:bCs/>
        </w:rPr>
        <w:t>najmniej możliwy</w:t>
      </w:r>
      <w:r w:rsidRPr="00591F8B">
        <w:rPr>
          <w:rFonts w:ascii="Arial" w:eastAsia="Times New Roman" w:hAnsi="Arial" w:cs="Times New Roman"/>
          <w:lang w:eastAsia="pl-PL"/>
        </w:rPr>
        <w:t xml:space="preserve">, </w:t>
      </w:r>
      <w:r w:rsidRPr="00591F8B">
        <w:rPr>
          <w:rFonts w:eastAsia="Arial" w:cstheme="minorHAnsi"/>
        </w:rPr>
        <w:t>tzn. nie może być wykluczony.</w:t>
      </w:r>
    </w:p>
    <w:p w14:paraId="0729407B" w14:textId="35FE0B5F" w:rsidR="0063685F" w:rsidRPr="00591F8B" w:rsidRDefault="0063685F" w:rsidP="0033607D">
      <w:pPr>
        <w:spacing w:after="0" w:line="276" w:lineRule="auto"/>
        <w:ind w:left="142"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W odniesieniu do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  <w:b/>
          <w:bCs/>
        </w:rPr>
        <w:t>produktów już zarejestrowanych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 xml:space="preserve">jest to każda szkodliwa </w:t>
      </w:r>
      <w:r w:rsidR="008C3B15" w:rsidRPr="00591F8B">
        <w:rPr>
          <w:rFonts w:eastAsia="Arial" w:cstheme="minorHAnsi"/>
        </w:rPr>
        <w:t>i niezamierzona</w:t>
      </w:r>
      <w:r w:rsidRPr="00591F8B">
        <w:rPr>
          <w:rFonts w:eastAsia="Arial" w:cstheme="minorHAnsi"/>
        </w:rPr>
        <w:t xml:space="preserve"> reakcja/odpowiedź na produkt, która występuje przy jego podaniu </w:t>
      </w:r>
      <w:r w:rsidR="008C3B15" w:rsidRPr="00591F8B">
        <w:rPr>
          <w:rFonts w:eastAsia="Arial" w:cstheme="minorHAnsi"/>
        </w:rPr>
        <w:t>w dawce</w:t>
      </w:r>
      <w:r w:rsidRPr="00591F8B">
        <w:rPr>
          <w:rFonts w:eastAsia="Arial" w:cstheme="minorHAnsi"/>
        </w:rPr>
        <w:t xml:space="preserve"> stosowanej zwykle u</w:t>
      </w:r>
      <w:r w:rsidR="007F5AD8">
        <w:rPr>
          <w:rFonts w:eastAsia="Arial" w:cstheme="minorHAnsi"/>
        </w:rPr>
        <w:t> </w:t>
      </w:r>
      <w:r w:rsidRPr="00591F8B">
        <w:rPr>
          <w:rFonts w:eastAsia="Arial" w:cstheme="minorHAnsi"/>
        </w:rPr>
        <w:t>człowieka w celach profilaktycznych, diagnostycznych, leczniczych lub w celu modyfikacji funkcji fizjologicznych.</w:t>
      </w:r>
      <w:r w:rsidRPr="00591F8B">
        <w:rPr>
          <w:rFonts w:eastAsia="Arial" w:cstheme="minorHAnsi"/>
          <w:vertAlign w:val="superscript"/>
        </w:rPr>
        <w:footnoteReference w:id="2"/>
      </w:r>
      <w:r w:rsidRPr="00591F8B" w:rsidDel="00B244CF">
        <w:rPr>
          <w:rFonts w:eastAsia="Arial" w:cstheme="minorHAnsi"/>
          <w:vertAlign w:val="superscript"/>
        </w:rPr>
        <w:t xml:space="preserve"> </w:t>
      </w:r>
    </w:p>
    <w:p w14:paraId="549B599E" w14:textId="77777777" w:rsidR="0063685F" w:rsidRPr="00591F8B" w:rsidRDefault="0063685F" w:rsidP="0033607D">
      <w:pPr>
        <w:keepNext/>
        <w:spacing w:before="240" w:after="60" w:line="276" w:lineRule="auto"/>
        <w:ind w:left="539" w:right="170" w:hanging="1021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91F8B">
        <w:rPr>
          <w:rFonts w:ascii="Arial" w:eastAsia="Times New Roman" w:hAnsi="Arial" w:cs="Arial"/>
          <w:b/>
          <w:bCs/>
          <w:lang w:eastAsia="pl-PL"/>
        </w:rPr>
        <w:t xml:space="preserve">          </w:t>
      </w:r>
      <w:r w:rsidRPr="00591F8B">
        <w:rPr>
          <w:rFonts w:eastAsia="Arial" w:cstheme="minorHAnsi"/>
          <w:b/>
          <w:bCs/>
        </w:rPr>
        <w:t>Działanie niepożądane produktu leczniczego (ADR) klasyfikujemy następująco:</w:t>
      </w:r>
    </w:p>
    <w:p w14:paraId="66C9DF4F" w14:textId="6C2C8595" w:rsidR="0063685F" w:rsidRPr="00591F8B" w:rsidRDefault="0063685F" w:rsidP="008C3B15">
      <w:p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Spodziewane działanie niepożądane (</w:t>
      </w:r>
      <w:proofErr w:type="spellStart"/>
      <w:r w:rsidRPr="00591F8B">
        <w:rPr>
          <w:rFonts w:eastAsia="Arial" w:cstheme="minorHAnsi"/>
          <w:b/>
          <w:bCs/>
        </w:rPr>
        <w:t>Suspected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Adverse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Drug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Reaction</w:t>
      </w:r>
      <w:proofErr w:type="spellEnd"/>
      <w:r w:rsidRPr="00591F8B">
        <w:rPr>
          <w:rFonts w:eastAsia="Arial" w:cstheme="minorHAnsi"/>
          <w:b/>
          <w:bCs/>
        </w:rPr>
        <w:t>)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>to takie, którego charakter i nasilenie określone zostały w Broszurze Badacza dla produktów leczniczych niedopuszczonych do obrotu lub w Charakterystyce Produktu Leczniczego (</w:t>
      </w:r>
      <w:proofErr w:type="spellStart"/>
      <w:r w:rsidRPr="00591F8B">
        <w:rPr>
          <w:rFonts w:eastAsia="Arial" w:cstheme="minorHAnsi"/>
        </w:rPr>
        <w:t>ChPL</w:t>
      </w:r>
      <w:proofErr w:type="spellEnd"/>
      <w:r w:rsidRPr="00591F8B">
        <w:rPr>
          <w:rFonts w:eastAsia="Arial" w:cstheme="minorHAnsi"/>
        </w:rPr>
        <w:t xml:space="preserve">) </w:t>
      </w:r>
      <w:r w:rsidR="00D602AB" w:rsidRPr="00591F8B">
        <w:rPr>
          <w:rFonts w:eastAsia="Arial" w:cstheme="minorHAnsi"/>
        </w:rPr>
        <w:br/>
      </w:r>
      <w:r w:rsidRPr="00591F8B">
        <w:rPr>
          <w:rFonts w:eastAsia="Arial" w:cstheme="minorHAnsi"/>
        </w:rPr>
        <w:t>dla produktów leczniczych dopuszczonych do obrotu.</w:t>
      </w:r>
    </w:p>
    <w:p w14:paraId="6988BC87" w14:textId="5F825B10" w:rsidR="0063685F" w:rsidRPr="00591F8B" w:rsidRDefault="0063685F" w:rsidP="008C3B15">
      <w:p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Niespodziewane działanie niepożądane</w:t>
      </w:r>
      <w:r w:rsidRPr="00591F8B">
        <w:rPr>
          <w:rFonts w:ascii="Arial" w:eastAsia="Times New Roman" w:hAnsi="Arial" w:cs="Times New Roman"/>
          <w:b/>
          <w:lang w:eastAsia="pl-PL"/>
        </w:rPr>
        <w:t xml:space="preserve"> </w:t>
      </w:r>
      <w:r w:rsidRPr="00591F8B">
        <w:rPr>
          <w:rFonts w:ascii="Arial" w:eastAsia="Times New Roman" w:hAnsi="Arial" w:cs="Times New Roman"/>
          <w:lang w:eastAsia="pl-PL"/>
        </w:rPr>
        <w:t>(</w:t>
      </w:r>
      <w:proofErr w:type="spellStart"/>
      <w:r w:rsidRPr="00591F8B">
        <w:rPr>
          <w:rFonts w:ascii="Arial" w:eastAsia="Times New Roman" w:hAnsi="Arial" w:cs="Times New Roman"/>
          <w:lang w:eastAsia="pl-PL"/>
        </w:rPr>
        <w:t>Unexpected</w:t>
      </w:r>
      <w:proofErr w:type="spellEnd"/>
      <w:r w:rsidRPr="00591F8B">
        <w:rPr>
          <w:rFonts w:ascii="Arial" w:eastAsia="Times New Roman" w:hAnsi="Arial" w:cs="Times New Roman"/>
          <w:lang w:eastAsia="pl-PL"/>
        </w:rPr>
        <w:t xml:space="preserve"> </w:t>
      </w:r>
      <w:proofErr w:type="spellStart"/>
      <w:r w:rsidRPr="00591F8B">
        <w:rPr>
          <w:rFonts w:ascii="Arial" w:eastAsia="Times New Roman" w:hAnsi="Arial" w:cs="Times New Roman"/>
          <w:lang w:eastAsia="pl-PL"/>
        </w:rPr>
        <w:t>Adverse</w:t>
      </w:r>
      <w:proofErr w:type="spellEnd"/>
      <w:r w:rsidRPr="00591F8B">
        <w:rPr>
          <w:rFonts w:ascii="Arial" w:eastAsia="Times New Roman" w:hAnsi="Arial" w:cs="Times New Roman"/>
          <w:lang w:eastAsia="pl-PL"/>
        </w:rPr>
        <w:t xml:space="preserve"> </w:t>
      </w:r>
      <w:proofErr w:type="spellStart"/>
      <w:r w:rsidRPr="00591F8B">
        <w:rPr>
          <w:rFonts w:ascii="Arial" w:eastAsia="Times New Roman" w:hAnsi="Arial" w:cs="Times New Roman"/>
          <w:lang w:eastAsia="pl-PL"/>
        </w:rPr>
        <w:t>Drug</w:t>
      </w:r>
      <w:proofErr w:type="spellEnd"/>
      <w:r w:rsidRPr="00591F8B">
        <w:rPr>
          <w:rFonts w:ascii="Arial" w:eastAsia="Times New Roman" w:hAnsi="Arial" w:cs="Times New Roman"/>
          <w:lang w:eastAsia="pl-PL"/>
        </w:rPr>
        <w:t xml:space="preserve"> </w:t>
      </w:r>
      <w:proofErr w:type="spellStart"/>
      <w:r w:rsidRPr="00591F8B">
        <w:rPr>
          <w:rFonts w:ascii="Arial" w:eastAsia="Times New Roman" w:hAnsi="Arial" w:cs="Times New Roman"/>
          <w:lang w:eastAsia="pl-PL"/>
        </w:rPr>
        <w:t>Reaction</w:t>
      </w:r>
      <w:proofErr w:type="spellEnd"/>
      <w:r w:rsidRPr="00591F8B">
        <w:rPr>
          <w:rFonts w:ascii="Arial" w:eastAsia="Times New Roman" w:hAnsi="Arial" w:cs="Times New Roman"/>
          <w:lang w:eastAsia="pl-PL"/>
        </w:rPr>
        <w:t xml:space="preserve">) </w:t>
      </w:r>
      <w:r w:rsidRPr="00591F8B">
        <w:rPr>
          <w:rFonts w:eastAsia="Arial" w:cstheme="minorHAnsi"/>
        </w:rPr>
        <w:t>to działanie niepożądane, którego charakter lub nasilenie nie jest zgodne z posiadanymi informacjami o</w:t>
      </w:r>
      <w:r w:rsidR="008C3B15" w:rsidRPr="00591F8B">
        <w:rPr>
          <w:rFonts w:eastAsia="Arial" w:cstheme="minorHAnsi"/>
        </w:rPr>
        <w:t> </w:t>
      </w:r>
      <w:r w:rsidRPr="00591F8B">
        <w:rPr>
          <w:rFonts w:eastAsia="Arial" w:cstheme="minorHAnsi"/>
        </w:rPr>
        <w:t xml:space="preserve">badanym produkcie (zawartymi w Broszurze Badacza dla produktów niezarejestrowanych, lub ulotce informacyjnej/charakterystyce środka farmaceutycznego dla produktów zarejestrowanych). </w:t>
      </w:r>
    </w:p>
    <w:p w14:paraId="3A530336" w14:textId="53080909" w:rsidR="008C3B15" w:rsidRPr="00591F8B" w:rsidRDefault="0063685F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>Podejrzewane niespodziewane działanie niepożądane (</w:t>
      </w:r>
      <w:proofErr w:type="spellStart"/>
      <w:r w:rsidRPr="00591F8B">
        <w:rPr>
          <w:rFonts w:eastAsia="Arial" w:cstheme="minorHAnsi"/>
          <w:b/>
          <w:bCs/>
        </w:rPr>
        <w:t>Suspected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Unexpected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Serious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Adverse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proofErr w:type="spellStart"/>
      <w:r w:rsidRPr="00591F8B">
        <w:rPr>
          <w:rFonts w:eastAsia="Arial" w:cstheme="minorHAnsi"/>
          <w:b/>
          <w:bCs/>
        </w:rPr>
        <w:t>Reaction</w:t>
      </w:r>
      <w:proofErr w:type="spellEnd"/>
      <w:r w:rsidRPr="00591F8B">
        <w:rPr>
          <w:rFonts w:eastAsia="Arial" w:cstheme="minorHAnsi"/>
          <w:b/>
          <w:bCs/>
        </w:rPr>
        <w:t xml:space="preserve"> </w:t>
      </w:r>
      <w:r w:rsidR="008C3B15" w:rsidRPr="00591F8B">
        <w:rPr>
          <w:rFonts w:eastAsia="Arial" w:cstheme="minorHAnsi"/>
          <w:b/>
          <w:bCs/>
        </w:rPr>
        <w:t>- SUSAR</w:t>
      </w:r>
      <w:r w:rsidRPr="00591F8B">
        <w:rPr>
          <w:rFonts w:eastAsia="Arial" w:cstheme="minorHAnsi"/>
          <w:b/>
          <w:bCs/>
        </w:rPr>
        <w:t>)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>- Jeżeli zdarzenie niepożądane produktu leczniczego spełnia trzy warunki: jest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="00AD428A" w:rsidRPr="00591F8B">
        <w:rPr>
          <w:rFonts w:ascii="Arial" w:eastAsia="Times New Roman" w:hAnsi="Arial" w:cs="Times New Roman"/>
          <w:lang w:eastAsia="pl-PL"/>
        </w:rPr>
        <w:t>ciężkie (</w:t>
      </w:r>
      <w:r w:rsidRPr="00591F8B">
        <w:rPr>
          <w:rFonts w:eastAsia="Arial" w:cstheme="minorHAnsi"/>
          <w:b/>
          <w:bCs/>
          <w:u w:val="single"/>
        </w:rPr>
        <w:t>poważne</w:t>
      </w:r>
      <w:r w:rsidR="00AD428A" w:rsidRPr="00591F8B">
        <w:rPr>
          <w:rFonts w:eastAsia="Arial" w:cstheme="minorHAnsi"/>
          <w:b/>
          <w:bCs/>
          <w:u w:val="single"/>
        </w:rPr>
        <w:t>)</w:t>
      </w:r>
      <w:r w:rsidRPr="00591F8B">
        <w:rPr>
          <w:rFonts w:eastAsia="Arial" w:cstheme="minorHAnsi"/>
          <w:b/>
          <w:bCs/>
          <w:u w:val="single"/>
        </w:rPr>
        <w:t>, niespodziewane i potencjalnie związane przyczynowo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>z</w:t>
      </w:r>
      <w:r w:rsidR="008C3B15" w:rsidRPr="00591F8B">
        <w:rPr>
          <w:rFonts w:eastAsia="Arial" w:cstheme="minorHAnsi"/>
        </w:rPr>
        <w:t> </w:t>
      </w:r>
      <w:r w:rsidRPr="00591F8B">
        <w:rPr>
          <w:rFonts w:eastAsia="Arial" w:cstheme="minorHAnsi"/>
        </w:rPr>
        <w:t>produktem badanym to jest to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="00AD428A" w:rsidRPr="00591F8B">
        <w:rPr>
          <w:rFonts w:ascii="Arial" w:eastAsia="Times New Roman" w:hAnsi="Arial" w:cs="Times New Roman"/>
          <w:lang w:eastAsia="pl-PL"/>
        </w:rPr>
        <w:t>ciężkie (</w:t>
      </w:r>
      <w:r w:rsidRPr="00591F8B">
        <w:rPr>
          <w:rFonts w:eastAsia="Arial" w:cstheme="minorHAnsi"/>
          <w:b/>
          <w:bCs/>
        </w:rPr>
        <w:t>poważne</w:t>
      </w:r>
      <w:r w:rsidR="00AD428A" w:rsidRPr="00591F8B">
        <w:rPr>
          <w:rFonts w:eastAsia="Arial" w:cstheme="minorHAnsi"/>
          <w:b/>
          <w:bCs/>
        </w:rPr>
        <w:t>)</w:t>
      </w:r>
      <w:r w:rsidRPr="00591F8B">
        <w:rPr>
          <w:rFonts w:eastAsia="Arial" w:cstheme="minorHAnsi"/>
          <w:b/>
          <w:bCs/>
        </w:rPr>
        <w:t xml:space="preserve"> i jednocześnie niespodziewane działanie niepożądane</w:t>
      </w:r>
      <w:r w:rsidR="00B60FF3" w:rsidRPr="00591F8B">
        <w:rPr>
          <w:rFonts w:eastAsia="Arial" w:cstheme="minorHAnsi"/>
          <w:b/>
          <w:bCs/>
        </w:rPr>
        <w:t>.</w:t>
      </w:r>
    </w:p>
    <w:p w14:paraId="53914CB2" w14:textId="3039F404" w:rsidR="0063685F" w:rsidRPr="00591F8B" w:rsidRDefault="0063685F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lastRenderedPageBreak/>
        <w:t>Gromadzenie informacji o działaniach niepożądanych</w:t>
      </w:r>
      <w:r w:rsidRPr="00591F8B">
        <w:rPr>
          <w:rFonts w:ascii="Arial" w:eastAsia="Times New Roman" w:hAnsi="Arial" w:cs="Times New Roman"/>
          <w:b/>
          <w:lang w:eastAsia="pl-PL"/>
        </w:rPr>
        <w:t xml:space="preserve"> </w:t>
      </w:r>
      <w:r w:rsidRPr="00591F8B">
        <w:rPr>
          <w:rFonts w:eastAsia="Arial" w:cstheme="minorHAnsi"/>
        </w:rPr>
        <w:t xml:space="preserve">(ze zdarzeń niepożądanych (AE) </w:t>
      </w:r>
      <w:r w:rsidR="00D602AB" w:rsidRPr="00591F8B">
        <w:rPr>
          <w:rFonts w:eastAsia="Arial" w:cstheme="minorHAnsi"/>
        </w:rPr>
        <w:br/>
      </w:r>
      <w:r w:rsidRPr="00591F8B">
        <w:rPr>
          <w:rFonts w:eastAsia="Arial" w:cstheme="minorHAnsi"/>
        </w:rPr>
        <w:t xml:space="preserve">i </w:t>
      </w:r>
      <w:r w:rsidR="00AD428A" w:rsidRPr="00591F8B">
        <w:rPr>
          <w:rFonts w:eastAsia="Arial" w:cstheme="minorHAnsi"/>
        </w:rPr>
        <w:t>ciężkich (</w:t>
      </w:r>
      <w:r w:rsidRPr="00591F8B">
        <w:rPr>
          <w:rFonts w:eastAsia="Arial" w:cstheme="minorHAnsi"/>
        </w:rPr>
        <w:t>poważnych</w:t>
      </w:r>
      <w:r w:rsidR="00AD428A" w:rsidRPr="00591F8B">
        <w:rPr>
          <w:rFonts w:eastAsia="Arial" w:cstheme="minorHAnsi"/>
        </w:rPr>
        <w:t>)</w:t>
      </w:r>
      <w:r w:rsidRPr="00591F8B">
        <w:rPr>
          <w:rFonts w:eastAsia="Arial" w:cstheme="minorHAnsi"/>
        </w:rPr>
        <w:t xml:space="preserve"> zdarzeń niepożądanych (SAE) rozpoczyna się od momentu podpisania przez Uczestnika świadomej zgody na udział w badaniu/ lub od momentu podania pierwszej dawki produktu badanego (w zależności od Protokołu) i trwa do czasu zakończenia ostatniej wizyty lub zgodnie z zapisami Protokołu, jeśli stanowią one inaczej.</w:t>
      </w:r>
    </w:p>
    <w:p w14:paraId="0838358A" w14:textId="33183C17" w:rsidR="0063685F" w:rsidRPr="00591F8B" w:rsidRDefault="0063685F" w:rsidP="0033607D">
      <w:p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Informacje o zdarzeniach niepożądanych i/lub nieprawidłowych wynikach badań laboratoryjnych, określonych w protokole badania jako bardzo istotne dla oceny bezpieczeństwa leku, powinny być przekazywane </w:t>
      </w:r>
      <w:r w:rsidR="00AD428A" w:rsidRPr="00591F8B">
        <w:rPr>
          <w:rFonts w:eastAsia="Arial" w:cstheme="minorHAnsi"/>
        </w:rPr>
        <w:t>S</w:t>
      </w:r>
      <w:r w:rsidRPr="00591F8B">
        <w:rPr>
          <w:rFonts w:eastAsia="Arial" w:cstheme="minorHAnsi"/>
        </w:rPr>
        <w:t xml:space="preserve">ponsorowi zgodnie z zaleceniami dotyczącymi sposobu i czasu ich przekazywania, zawartymi przez Sponsora w protokole badania.  </w:t>
      </w:r>
    </w:p>
    <w:p w14:paraId="207C856A" w14:textId="77777777" w:rsidR="00DF6C89" w:rsidRPr="00591F8B" w:rsidRDefault="00DF6C89" w:rsidP="0033607D">
      <w:pPr>
        <w:spacing w:before="120" w:after="0" w:line="276" w:lineRule="auto"/>
        <w:ind w:right="170"/>
        <w:jc w:val="both"/>
        <w:rPr>
          <w:rFonts w:eastAsia="Arial" w:cstheme="minorHAnsi"/>
        </w:rPr>
      </w:pPr>
    </w:p>
    <w:p w14:paraId="223E718C" w14:textId="77777777" w:rsidR="00456D40" w:rsidRPr="00591F8B" w:rsidRDefault="00456D40" w:rsidP="0033607D">
      <w:pPr>
        <w:spacing w:before="120" w:after="0" w:line="276" w:lineRule="auto"/>
        <w:ind w:right="170"/>
        <w:jc w:val="both"/>
        <w:rPr>
          <w:rFonts w:eastAsia="Arial" w:cstheme="minorHAnsi"/>
        </w:rPr>
      </w:pPr>
    </w:p>
    <w:p w14:paraId="4CBECF83" w14:textId="7AC68601" w:rsidR="00DF6C89" w:rsidRPr="00591F8B" w:rsidRDefault="00DF6C89" w:rsidP="0033607D">
      <w:pPr>
        <w:pStyle w:val="Akapitzlist"/>
        <w:keepNext/>
        <w:numPr>
          <w:ilvl w:val="1"/>
          <w:numId w:val="41"/>
        </w:numPr>
        <w:spacing w:after="0" w:line="360" w:lineRule="auto"/>
        <w:ind w:right="170"/>
        <w:jc w:val="both"/>
        <w:outlineLvl w:val="2"/>
        <w:rPr>
          <w:rStyle w:val="Nagwek2Znak"/>
          <w:rFonts w:asciiTheme="minorHAnsi" w:hAnsiTheme="minorHAnsi" w:cstheme="minorHAnsi"/>
          <w:b/>
          <w:bCs/>
          <w:sz w:val="22"/>
          <w:szCs w:val="22"/>
        </w:rPr>
      </w:pP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       Dokumentacja</w:t>
      </w:r>
    </w:p>
    <w:p w14:paraId="687CF163" w14:textId="77777777" w:rsidR="0063685F" w:rsidRPr="00591F8B" w:rsidRDefault="0063685F" w:rsidP="0033607D">
      <w:pPr>
        <w:spacing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Dokumentacja stosowana w celu opisania i raportowania zdarzeń niepożądanych:</w:t>
      </w:r>
    </w:p>
    <w:p w14:paraId="2842F09D" w14:textId="47501581" w:rsidR="0063685F" w:rsidRPr="00591F8B" w:rsidRDefault="0063685F" w:rsidP="0033607D">
      <w:pPr>
        <w:pStyle w:val="Akapitzlist"/>
        <w:numPr>
          <w:ilvl w:val="0"/>
          <w:numId w:val="23"/>
        </w:numPr>
        <w:spacing w:after="0" w:line="276" w:lineRule="auto"/>
        <w:ind w:right="170"/>
        <w:jc w:val="both"/>
        <w:rPr>
          <w:rFonts w:eastAsia="Arial" w:cstheme="minorHAnsi"/>
        </w:rPr>
      </w:pPr>
      <w:r w:rsidRPr="005511A4">
        <w:rPr>
          <w:rFonts w:eastAsia="Arial" w:cstheme="minorHAnsi"/>
        </w:rPr>
        <w:t>Karta Uczestnika/ dokumenty źródłowe (</w:t>
      </w:r>
      <w:r w:rsidRPr="00591F8B">
        <w:rPr>
          <w:rFonts w:eastAsia="Arial" w:cstheme="minorHAnsi"/>
        </w:rPr>
        <w:t xml:space="preserve">SC – </w:t>
      </w:r>
      <w:proofErr w:type="spellStart"/>
      <w:r w:rsidRPr="00591F8B">
        <w:rPr>
          <w:rFonts w:eastAsia="Arial" w:cstheme="minorHAnsi"/>
        </w:rPr>
        <w:t>Subject</w:t>
      </w:r>
      <w:proofErr w:type="spellEnd"/>
      <w:r w:rsidRPr="00591F8B">
        <w:rPr>
          <w:rFonts w:eastAsia="Arial" w:cstheme="minorHAnsi"/>
        </w:rPr>
        <w:t xml:space="preserve"> Card/ SD – Source </w:t>
      </w:r>
      <w:proofErr w:type="spellStart"/>
      <w:r w:rsidRPr="00591F8B">
        <w:rPr>
          <w:rFonts w:eastAsia="Arial" w:cstheme="minorHAnsi"/>
        </w:rPr>
        <w:t>Document</w:t>
      </w:r>
      <w:proofErr w:type="spellEnd"/>
      <w:r w:rsidRPr="00591F8B">
        <w:rPr>
          <w:rFonts w:eastAsia="Arial" w:cstheme="minorHAnsi"/>
        </w:rPr>
        <w:t>),</w:t>
      </w:r>
      <w:r w:rsidR="00B60FF3" w:rsidRPr="00591F8B">
        <w:rPr>
          <w:rFonts w:eastAsia="Arial" w:cstheme="minorHAnsi"/>
        </w:rPr>
        <w:t xml:space="preserve"> </w:t>
      </w:r>
      <w:r w:rsidRPr="00591F8B">
        <w:rPr>
          <w:rFonts w:eastAsia="Arial" w:cstheme="minorHAnsi"/>
        </w:rPr>
        <w:t>(elektroniczna) Karta Obserwacji Klinicznej (e)CRF – (</w:t>
      </w:r>
      <w:proofErr w:type="spellStart"/>
      <w:r w:rsidRPr="00591F8B">
        <w:rPr>
          <w:rFonts w:eastAsia="Arial" w:cstheme="minorHAnsi"/>
        </w:rPr>
        <w:t>electronic</w:t>
      </w:r>
      <w:proofErr w:type="spellEnd"/>
      <w:r w:rsidRPr="00591F8B">
        <w:rPr>
          <w:rFonts w:eastAsia="Arial" w:cstheme="minorHAnsi"/>
        </w:rPr>
        <w:t>) Case Report Form),</w:t>
      </w:r>
    </w:p>
    <w:p w14:paraId="2B156E8F" w14:textId="6655DC5D" w:rsidR="0063685F" w:rsidRPr="00591F8B" w:rsidRDefault="0063685F" w:rsidP="0033607D">
      <w:pPr>
        <w:pStyle w:val="Akapitzlist"/>
        <w:numPr>
          <w:ilvl w:val="0"/>
          <w:numId w:val="23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Formularz raportu o wystąpieniu ciężkiego zdarzenia niepożądanego (</w:t>
      </w:r>
      <w:proofErr w:type="spellStart"/>
      <w:r w:rsidRPr="00591F8B">
        <w:rPr>
          <w:rFonts w:eastAsia="Arial" w:cstheme="minorHAnsi"/>
        </w:rPr>
        <w:t>Serious</w:t>
      </w:r>
      <w:proofErr w:type="spellEnd"/>
      <w:r w:rsidRPr="00591F8B">
        <w:rPr>
          <w:rFonts w:eastAsia="Arial" w:cstheme="minorHAnsi"/>
        </w:rPr>
        <w:t xml:space="preserve"> </w:t>
      </w:r>
      <w:proofErr w:type="spellStart"/>
      <w:r w:rsidRPr="00591F8B">
        <w:rPr>
          <w:rFonts w:eastAsia="Arial" w:cstheme="minorHAnsi"/>
        </w:rPr>
        <w:t>Adverse</w:t>
      </w:r>
      <w:proofErr w:type="spellEnd"/>
      <w:r w:rsidRPr="00591F8B">
        <w:rPr>
          <w:rFonts w:eastAsia="Arial" w:cstheme="minorHAnsi"/>
        </w:rPr>
        <w:t xml:space="preserve"> Event Report Form) w formie papierowej lub elektronicznej (jeśli dotyczy),</w:t>
      </w:r>
    </w:p>
    <w:p w14:paraId="703F2E47" w14:textId="06F3C836" w:rsidR="0063685F" w:rsidRPr="00591F8B" w:rsidRDefault="0063685F" w:rsidP="0033607D">
      <w:pPr>
        <w:pStyle w:val="Akapitzlist"/>
        <w:numPr>
          <w:ilvl w:val="0"/>
          <w:numId w:val="23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Inne dokumenty opisane w Protokole lub wymagane przez Sponsora do danego Protokołu</w:t>
      </w:r>
      <w:r w:rsidR="00B60FF3" w:rsidRPr="00591F8B">
        <w:rPr>
          <w:rFonts w:eastAsia="Arial" w:cstheme="minorHAnsi"/>
        </w:rPr>
        <w:t xml:space="preserve"> </w:t>
      </w:r>
      <w:r w:rsidRPr="00591F8B">
        <w:rPr>
          <w:rFonts w:eastAsia="Arial" w:cstheme="minorHAnsi"/>
        </w:rPr>
        <w:t xml:space="preserve">badania np. AE Report, SAE Report, Dzienniczek Uczestnika itp. </w:t>
      </w:r>
    </w:p>
    <w:p w14:paraId="42DF3AD3" w14:textId="77777777" w:rsidR="0063685F" w:rsidRPr="00591F8B" w:rsidRDefault="0063685F" w:rsidP="0033607D">
      <w:pPr>
        <w:spacing w:before="120" w:after="0" w:line="276" w:lineRule="auto"/>
        <w:ind w:left="94"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Uwaga:</w:t>
      </w:r>
      <w:r w:rsidRPr="00591F8B">
        <w:rPr>
          <w:rFonts w:eastAsia="Arial" w:cstheme="minorHAnsi"/>
        </w:rPr>
        <w:t xml:space="preserve"> Przed rozpoczęciem badania należy ustalić, która dokumentacja będzie obowiązująca (CWBK czy Sponsora) w celu uniknięcia dublowania dokumentacji.</w:t>
      </w:r>
    </w:p>
    <w:p w14:paraId="03D0D5CF" w14:textId="77777777" w:rsidR="00017D78" w:rsidRPr="00591F8B" w:rsidRDefault="00017D78" w:rsidP="0033607D">
      <w:pPr>
        <w:spacing w:before="120" w:after="0" w:line="276" w:lineRule="auto"/>
        <w:ind w:left="94" w:right="170"/>
        <w:jc w:val="both"/>
        <w:rPr>
          <w:rFonts w:eastAsia="Arial" w:cstheme="minorHAnsi"/>
        </w:rPr>
      </w:pPr>
    </w:p>
    <w:p w14:paraId="428C392E" w14:textId="77777777" w:rsidR="00456D40" w:rsidRPr="00591F8B" w:rsidRDefault="00456D40" w:rsidP="0033607D">
      <w:pPr>
        <w:spacing w:before="120" w:after="0" w:line="276" w:lineRule="auto"/>
        <w:ind w:left="94" w:right="170"/>
        <w:jc w:val="both"/>
        <w:rPr>
          <w:rFonts w:eastAsia="Arial" w:cstheme="minorHAnsi"/>
        </w:rPr>
      </w:pPr>
    </w:p>
    <w:p w14:paraId="0A676530" w14:textId="096A6D86" w:rsidR="00591CDA" w:rsidRPr="00591F8B" w:rsidRDefault="00172FEF" w:rsidP="0033607D">
      <w:pPr>
        <w:pStyle w:val="Akapitzlist"/>
        <w:keepNext/>
        <w:numPr>
          <w:ilvl w:val="1"/>
          <w:numId w:val="41"/>
        </w:numPr>
        <w:spacing w:after="0" w:line="360" w:lineRule="auto"/>
        <w:ind w:right="170"/>
        <w:jc w:val="both"/>
        <w:outlineLvl w:val="2"/>
        <w:rPr>
          <w:rStyle w:val="Nagwek2Znak"/>
          <w:rFonts w:asciiTheme="minorHAnsi" w:hAnsiTheme="minorHAnsi" w:cstheme="minorHAnsi"/>
          <w:b/>
          <w:bCs/>
          <w:sz w:val="22"/>
          <w:szCs w:val="22"/>
        </w:rPr>
      </w:pP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       Raportowanie zdarzenia niepożądanego (AE)</w:t>
      </w:r>
    </w:p>
    <w:p w14:paraId="564A4B1F" w14:textId="4F29FD02" w:rsidR="0063685F" w:rsidRPr="00591F8B" w:rsidRDefault="0063685F" w:rsidP="0033607D">
      <w:pPr>
        <w:pStyle w:val="Nagwek3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91F8B">
        <w:rPr>
          <w:rFonts w:asciiTheme="minorHAnsi" w:eastAsia="Arial" w:hAnsiTheme="minorHAnsi" w:cstheme="minorHAnsi"/>
          <w:b/>
          <w:bCs/>
          <w:sz w:val="22"/>
          <w:szCs w:val="22"/>
        </w:rPr>
        <w:t>Każde zdarzenie niepożądane będzie rejestrowane zgodnie z kryteriami podanymi poniżej</w:t>
      </w:r>
    </w:p>
    <w:p w14:paraId="7B30B794" w14:textId="71ED61B3" w:rsidR="0063685F" w:rsidRPr="00591F8B" w:rsidRDefault="0063685F" w:rsidP="0033607D">
      <w:pPr>
        <w:spacing w:before="120" w:after="0" w:line="276" w:lineRule="auto"/>
        <w:ind w:right="170"/>
        <w:jc w:val="both"/>
        <w:rPr>
          <w:rFonts w:ascii="Arial" w:eastAsia="Times New Roman" w:hAnsi="Arial" w:cs="Times New Roman"/>
          <w:lang w:eastAsia="pl-PL"/>
        </w:rPr>
      </w:pPr>
      <w:r w:rsidRPr="00591F8B">
        <w:rPr>
          <w:rFonts w:eastAsia="Arial" w:cstheme="minorHAnsi"/>
        </w:rPr>
        <w:t xml:space="preserve">Badacz (zgodnie z Protokołem) każdorazowo i podczas badania lekarskiego, w czasie wizyt lekarskich oraz podczas każdego innego </w:t>
      </w:r>
      <w:r w:rsidR="008C3B15" w:rsidRPr="00591F8B">
        <w:rPr>
          <w:rFonts w:eastAsia="Arial" w:cstheme="minorHAnsi"/>
        </w:rPr>
        <w:t>kontaktu z</w:t>
      </w:r>
      <w:r w:rsidRPr="00591F8B">
        <w:rPr>
          <w:rFonts w:eastAsia="Arial" w:cstheme="minorHAnsi"/>
        </w:rPr>
        <w:t xml:space="preserve"> Uczestnikiem (np. rozmowa telefoniczna lub rozmowa z</w:t>
      </w:r>
      <w:r w:rsidR="007F5AD8">
        <w:rPr>
          <w:rFonts w:eastAsia="Arial" w:cstheme="minorHAnsi"/>
        </w:rPr>
        <w:t> </w:t>
      </w:r>
      <w:r w:rsidRPr="00591F8B">
        <w:rPr>
          <w:rFonts w:eastAsia="Arial" w:cstheme="minorHAnsi"/>
        </w:rPr>
        <w:t xml:space="preserve">rodziną Uczestnika) zadaje pytanie Uczestnikowi o aktualne dolegliwości </w:t>
      </w:r>
      <w:r w:rsidR="00D602AB" w:rsidRPr="00591F8B">
        <w:rPr>
          <w:rFonts w:eastAsia="Arial" w:cstheme="minorHAnsi"/>
        </w:rPr>
        <w:br/>
      </w:r>
      <w:r w:rsidRPr="00591F8B">
        <w:rPr>
          <w:rFonts w:eastAsia="Arial" w:cstheme="minorHAnsi"/>
        </w:rPr>
        <w:t>i/lub zmiany w stanie zdrowia i odnotowuje uzyskane informacje w Karcie Uczestnika. Informacje o</w:t>
      </w:r>
      <w:r w:rsidR="007F5AD8">
        <w:rPr>
          <w:rFonts w:eastAsia="Arial" w:cstheme="minorHAnsi"/>
        </w:rPr>
        <w:t> </w:t>
      </w:r>
      <w:r w:rsidRPr="00591F8B">
        <w:rPr>
          <w:rFonts w:eastAsia="Arial" w:cstheme="minorHAnsi"/>
        </w:rPr>
        <w:t>zdarzeniu niepożądanym zostają wprowadzone do Karty Obserwacji Klinicznej w czasie określonym przez Protokół lub ustalonym ze Sponsorem badania.</w:t>
      </w:r>
    </w:p>
    <w:p w14:paraId="16FFA85F" w14:textId="64C900A5" w:rsidR="0063685F" w:rsidRPr="00591F8B" w:rsidRDefault="0063685F" w:rsidP="0033607D">
      <w:p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 xml:space="preserve">Każde określenie (diagnoza, objawy) dotyczące zdarzenia niepożądanego powinno posiadać odwzorowanie w terminologii i kodach </w:t>
      </w:r>
      <w:proofErr w:type="spellStart"/>
      <w:r w:rsidRPr="00591F8B">
        <w:rPr>
          <w:rFonts w:eastAsia="Arial" w:cstheme="minorHAnsi"/>
          <w:b/>
          <w:bCs/>
        </w:rPr>
        <w:t>MedDRA</w:t>
      </w:r>
      <w:proofErr w:type="spellEnd"/>
      <w:r w:rsidRPr="00591F8B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Pr="00591F8B">
        <w:rPr>
          <w:rFonts w:ascii="Arial" w:eastAsia="Times New Roman" w:hAnsi="Arial" w:cs="Arial"/>
          <w:bCs/>
          <w:iCs/>
          <w:lang w:eastAsia="pl-PL"/>
        </w:rPr>
        <w:t>(</w:t>
      </w:r>
      <w:r w:rsidRPr="00591F8B">
        <w:rPr>
          <w:rFonts w:eastAsia="Arial" w:cstheme="minorHAnsi"/>
        </w:rPr>
        <w:t xml:space="preserve">wg wersji aktualnej dostępnej dla czasu raportowania, chyba </w:t>
      </w:r>
      <w:r w:rsidR="008C3B15" w:rsidRPr="00591F8B">
        <w:rPr>
          <w:rFonts w:eastAsia="Arial" w:cstheme="minorHAnsi"/>
        </w:rPr>
        <w:t>że</w:t>
      </w:r>
      <w:r w:rsidRPr="00591F8B">
        <w:rPr>
          <w:rFonts w:eastAsia="Arial" w:cstheme="minorHAnsi"/>
        </w:rPr>
        <w:t xml:space="preserve"> ustalono inaczej).</w:t>
      </w:r>
    </w:p>
    <w:p w14:paraId="2D1A151C" w14:textId="77777777" w:rsidR="00456D40" w:rsidRPr="00591F8B" w:rsidRDefault="00456D40" w:rsidP="0033607D">
      <w:pPr>
        <w:spacing w:before="120" w:after="0" w:line="276" w:lineRule="auto"/>
        <w:ind w:right="170"/>
        <w:jc w:val="both"/>
        <w:rPr>
          <w:rFonts w:eastAsia="Arial" w:cstheme="minorHAnsi"/>
        </w:rPr>
      </w:pPr>
    </w:p>
    <w:p w14:paraId="26B5745D" w14:textId="77777777" w:rsidR="0063685F" w:rsidRPr="00591F8B" w:rsidRDefault="0063685F" w:rsidP="0033607D">
      <w:pPr>
        <w:spacing w:before="120" w:after="0" w:line="276" w:lineRule="auto"/>
        <w:ind w:right="170"/>
        <w:jc w:val="both"/>
        <w:rPr>
          <w:rFonts w:eastAsia="Arial" w:cstheme="minorHAnsi"/>
          <w:b/>
          <w:bCs/>
        </w:rPr>
      </w:pPr>
      <w:r w:rsidRPr="00591F8B">
        <w:rPr>
          <w:rFonts w:eastAsia="Arial" w:cstheme="minorHAnsi"/>
          <w:b/>
          <w:bCs/>
        </w:rPr>
        <w:t>Informacje, które należy gromadzić/ opisywać w przypadku wystąpienia zdarzenia niepożądanego:</w:t>
      </w:r>
    </w:p>
    <w:p w14:paraId="1A3DDC8B" w14:textId="77777777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ascii="Arial" w:eastAsia="Times New Roman" w:hAnsi="Arial" w:cs="Times New Roman"/>
          <w:b/>
          <w:lang w:eastAsia="pl-PL"/>
        </w:rPr>
      </w:pPr>
      <w:r w:rsidRPr="00591F8B">
        <w:rPr>
          <w:rFonts w:eastAsia="Arial" w:cstheme="minorHAnsi"/>
          <w:b/>
          <w:bCs/>
        </w:rPr>
        <w:lastRenderedPageBreak/>
        <w:t>nazwa zdarzenia (diagnoza)</w:t>
      </w:r>
      <w:r w:rsidRPr="00591F8B">
        <w:rPr>
          <w:rFonts w:ascii="Arial" w:eastAsia="Times New Roman" w:hAnsi="Arial" w:cs="Arial"/>
          <w:b/>
          <w:lang w:eastAsia="pl-PL"/>
        </w:rPr>
        <w:t xml:space="preserve"> </w:t>
      </w:r>
      <w:r w:rsidRPr="00591F8B">
        <w:rPr>
          <w:rFonts w:ascii="Arial" w:eastAsia="Times New Roman" w:hAnsi="Arial" w:cs="Arial"/>
          <w:lang w:eastAsia="pl-PL"/>
        </w:rPr>
        <w:t xml:space="preserve">– </w:t>
      </w:r>
      <w:r w:rsidRPr="00591F8B">
        <w:rPr>
          <w:rFonts w:eastAsia="Arial" w:cstheme="minorHAnsi"/>
        </w:rPr>
        <w:t>jeśli diagnoza nie jest możliwa do określenia, należy opisać występujące objawy – wówczas każdy jako osobne zdarzenie,</w:t>
      </w:r>
    </w:p>
    <w:p w14:paraId="52428248" w14:textId="77777777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ascii="Arial" w:eastAsia="Times New Roman" w:hAnsi="Arial" w:cs="Times New Roman"/>
          <w:b/>
          <w:lang w:eastAsia="pl-PL"/>
        </w:rPr>
      </w:pPr>
      <w:r w:rsidRPr="00591F8B">
        <w:rPr>
          <w:rFonts w:eastAsia="Arial" w:cstheme="minorHAnsi"/>
          <w:b/>
          <w:bCs/>
        </w:rPr>
        <w:t>opis zdarzenia</w:t>
      </w:r>
      <w:r w:rsidRPr="00591F8B">
        <w:rPr>
          <w:rFonts w:ascii="Arial" w:eastAsia="Times New Roman" w:hAnsi="Arial" w:cs="Arial"/>
          <w:lang w:eastAsia="pl-PL"/>
        </w:rPr>
        <w:t xml:space="preserve"> – </w:t>
      </w:r>
      <w:r w:rsidRPr="00591F8B">
        <w:rPr>
          <w:rFonts w:eastAsia="Arial" w:cstheme="minorHAnsi"/>
        </w:rPr>
        <w:t>informacje dotyczące zdarzenia – np. w jakich okolicznościach nastąpiło,</w:t>
      </w:r>
    </w:p>
    <w:p w14:paraId="5C8CF06D" w14:textId="77777777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  <w:u w:val="single"/>
        </w:rPr>
        <w:t>czas rozpoczęcia</w:t>
      </w:r>
      <w:r w:rsidRPr="00591F8B">
        <w:rPr>
          <w:rFonts w:ascii="Arial" w:eastAsia="Times New Roman" w:hAnsi="Arial" w:cs="Arial"/>
          <w:lang w:eastAsia="pl-PL"/>
        </w:rPr>
        <w:t xml:space="preserve"> </w:t>
      </w:r>
      <w:r w:rsidRPr="00591F8B">
        <w:rPr>
          <w:rFonts w:eastAsia="Arial" w:cstheme="minorHAnsi"/>
        </w:rPr>
        <w:t>zdarzenia – data i (jeśli możliwa do określenia) godzina rozpoczęcia,</w:t>
      </w:r>
    </w:p>
    <w:p w14:paraId="25F0717F" w14:textId="77777777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  <w:u w:val="single"/>
        </w:rPr>
        <w:t>czas zakończenia</w:t>
      </w:r>
      <w:r w:rsidRPr="00591F8B">
        <w:rPr>
          <w:rFonts w:ascii="Arial" w:eastAsia="Times New Roman" w:hAnsi="Arial" w:cs="Arial"/>
          <w:lang w:eastAsia="pl-PL"/>
        </w:rPr>
        <w:t xml:space="preserve"> </w:t>
      </w:r>
      <w:r w:rsidRPr="00591F8B">
        <w:rPr>
          <w:rFonts w:eastAsia="Arial" w:cstheme="minorHAnsi"/>
        </w:rPr>
        <w:t>zdarzenia – data i (jeśli możliwa do określenia) godzina, lub opisanie zdarzenia jako trwające (</w:t>
      </w:r>
      <w:proofErr w:type="spellStart"/>
      <w:r w:rsidRPr="00591F8B">
        <w:rPr>
          <w:rFonts w:eastAsia="Arial" w:cstheme="minorHAnsi"/>
        </w:rPr>
        <w:t>ongoing</w:t>
      </w:r>
      <w:proofErr w:type="spellEnd"/>
      <w:r w:rsidRPr="00591F8B">
        <w:rPr>
          <w:rFonts w:eastAsia="Arial" w:cstheme="minorHAnsi"/>
        </w:rPr>
        <w:t>). Badacz podczas kolejnych kontaktów (osobistych lub telefonicznych) z Uczestnikiem zobowiązany jest do weryfikacji statusu trwających zdarzeń niepożądanych, odnotowując każdorazowo uzyskane informacje w dokumentacji Uczestnika,</w:t>
      </w:r>
    </w:p>
    <w:p w14:paraId="143EDE32" w14:textId="0FB44A05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ascii="Arial" w:eastAsia="Times New Roman" w:hAnsi="Arial" w:cs="Times New Roman"/>
          <w:b/>
          <w:lang w:eastAsia="pl-PL"/>
        </w:rPr>
      </w:pPr>
      <w:r w:rsidRPr="00591F8B">
        <w:rPr>
          <w:rFonts w:eastAsia="Arial" w:cstheme="minorHAnsi"/>
          <w:b/>
          <w:bCs/>
        </w:rPr>
        <w:t>ocena ciężkości</w:t>
      </w:r>
      <w:r w:rsidR="005878A3" w:rsidRPr="00591F8B">
        <w:rPr>
          <w:rFonts w:eastAsia="Arial" w:cstheme="minorHAnsi"/>
          <w:b/>
          <w:bCs/>
        </w:rPr>
        <w:t xml:space="preserve"> i nasilenia</w:t>
      </w:r>
      <w:r w:rsidRPr="00591F8B">
        <w:rPr>
          <w:rFonts w:ascii="Arial" w:eastAsia="Times New Roman" w:hAnsi="Arial" w:cs="Arial"/>
          <w:lang w:eastAsia="pl-PL"/>
        </w:rPr>
        <w:t xml:space="preserve"> </w:t>
      </w:r>
      <w:r w:rsidRPr="00591F8B">
        <w:rPr>
          <w:rFonts w:eastAsia="Arial" w:cstheme="minorHAnsi"/>
        </w:rPr>
        <w:t>zdarzenia (patrz wyżej rozdział 4 – Definicje i skróty),</w:t>
      </w:r>
    </w:p>
    <w:p w14:paraId="4ADEDB76" w14:textId="77777777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ocena przyczynowości</w:t>
      </w:r>
      <w:r w:rsidRPr="00591F8B">
        <w:rPr>
          <w:rFonts w:ascii="Arial" w:eastAsia="Times New Roman" w:hAnsi="Arial" w:cs="Arial"/>
          <w:lang w:eastAsia="pl-PL"/>
        </w:rPr>
        <w:t xml:space="preserve"> </w:t>
      </w:r>
      <w:r w:rsidRPr="00591F8B">
        <w:rPr>
          <w:rFonts w:eastAsia="Arial" w:cstheme="minorHAnsi"/>
        </w:rPr>
        <w:t>zdarzenia (patrz wyżej rozdział 4 – Definicje i skróty). W przypadku oceny zdarzenia jako niezwiązane z produktem badanym – należy opisać/wskazać prawdopodobną przyczynę zdarzenia,</w:t>
      </w:r>
    </w:p>
    <w:p w14:paraId="629619A7" w14:textId="02BA8974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ocena związku z procedurami badania</w:t>
      </w:r>
      <w:r w:rsidRPr="00591F8B">
        <w:rPr>
          <w:rFonts w:ascii="Arial" w:eastAsia="Times New Roman" w:hAnsi="Arial" w:cs="Arial"/>
          <w:lang w:eastAsia="pl-PL"/>
        </w:rPr>
        <w:t xml:space="preserve"> </w:t>
      </w:r>
      <w:r w:rsidRPr="00591F8B">
        <w:rPr>
          <w:rFonts w:eastAsia="Arial" w:cstheme="minorHAnsi"/>
        </w:rPr>
        <w:t xml:space="preserve">– jeśli wymagane przez Protokół badania, </w:t>
      </w:r>
      <w:r w:rsidR="00D602AB" w:rsidRPr="00591F8B">
        <w:rPr>
          <w:rFonts w:eastAsia="Arial" w:cstheme="minorHAnsi"/>
        </w:rPr>
        <w:br/>
      </w:r>
      <w:r w:rsidRPr="00591F8B">
        <w:rPr>
          <w:rFonts w:eastAsia="Arial" w:cstheme="minorHAnsi"/>
        </w:rPr>
        <w:t>lub gdy zdarzenie ocenione zostanie jako niezwiązane z produktem badanym,</w:t>
      </w:r>
    </w:p>
    <w:p w14:paraId="33630910" w14:textId="756D32B6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wynik zdarzenia/ konsekwencje</w:t>
      </w:r>
      <w:r w:rsidRPr="00591F8B">
        <w:rPr>
          <w:rFonts w:ascii="Arial" w:eastAsia="Times New Roman" w:hAnsi="Arial" w:cs="Arial"/>
          <w:lang w:eastAsia="pl-PL"/>
        </w:rPr>
        <w:t xml:space="preserve"> </w:t>
      </w:r>
      <w:r w:rsidRPr="00591F8B">
        <w:rPr>
          <w:rFonts w:eastAsia="Arial" w:cstheme="minorHAnsi"/>
        </w:rPr>
        <w:t xml:space="preserve">(tzw. </w:t>
      </w:r>
      <w:proofErr w:type="spellStart"/>
      <w:r w:rsidRPr="00591F8B">
        <w:rPr>
          <w:rFonts w:eastAsia="Arial" w:cstheme="minorHAnsi"/>
        </w:rPr>
        <w:t>outcome</w:t>
      </w:r>
      <w:proofErr w:type="spellEnd"/>
      <w:r w:rsidRPr="00591F8B">
        <w:rPr>
          <w:rFonts w:eastAsia="Arial" w:cstheme="minorHAnsi"/>
        </w:rPr>
        <w:t>) – jeśli dotyczy i/lub jeśli wymagane jest w</w:t>
      </w:r>
      <w:r w:rsidR="007F5AD8">
        <w:rPr>
          <w:rFonts w:eastAsia="Arial" w:cstheme="minorHAnsi"/>
        </w:rPr>
        <w:t> </w:t>
      </w:r>
      <w:r w:rsidRPr="00591F8B">
        <w:rPr>
          <w:rFonts w:eastAsia="Arial" w:cstheme="minorHAnsi"/>
        </w:rPr>
        <w:t>czasie raportowania zdarzenia,</w:t>
      </w:r>
    </w:p>
    <w:p w14:paraId="795F8C24" w14:textId="264C8468" w:rsidR="0063685F" w:rsidRPr="00591F8B" w:rsidRDefault="0063685F" w:rsidP="0033607D">
      <w:pPr>
        <w:numPr>
          <w:ilvl w:val="0"/>
          <w:numId w:val="10"/>
        </w:numPr>
        <w:spacing w:before="120" w:after="0" w:line="276" w:lineRule="auto"/>
        <w:ind w:left="709" w:right="170" w:hanging="425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opis działań podjętych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>w odpowiedzi na wystąpienie zdarzenia, w tym informacje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="00D602AB" w:rsidRPr="00591F8B">
        <w:rPr>
          <w:rFonts w:ascii="Arial" w:eastAsia="Times New Roman" w:hAnsi="Arial" w:cs="Times New Roman"/>
          <w:lang w:eastAsia="pl-PL"/>
        </w:rPr>
        <w:br/>
      </w:r>
      <w:r w:rsidRPr="00591F8B">
        <w:rPr>
          <w:rFonts w:ascii="Arial" w:eastAsia="Times New Roman" w:hAnsi="Arial" w:cs="Times New Roman"/>
          <w:lang w:eastAsia="pl-PL"/>
        </w:rPr>
        <w:t xml:space="preserve">o: </w:t>
      </w:r>
      <w:r w:rsidRPr="00591F8B">
        <w:rPr>
          <w:rFonts w:eastAsia="Arial" w:cstheme="minorHAnsi"/>
          <w:b/>
          <w:bCs/>
          <w:u w:val="single"/>
        </w:rPr>
        <w:t xml:space="preserve">zastosowanym leczeniu lub terapiach </w:t>
      </w:r>
      <w:r w:rsidR="00144649" w:rsidRPr="00591F8B">
        <w:rPr>
          <w:rFonts w:eastAsia="Arial" w:cstheme="minorHAnsi"/>
          <w:b/>
          <w:bCs/>
          <w:u w:val="single"/>
        </w:rPr>
        <w:t>nie lekowych</w:t>
      </w:r>
      <w:r w:rsidRPr="00591F8B">
        <w:rPr>
          <w:rFonts w:eastAsia="Arial" w:cstheme="minorHAnsi"/>
          <w:b/>
          <w:bCs/>
          <w:u w:val="single"/>
        </w:rPr>
        <w:t xml:space="preserve"> oraz informacje o działaniach podjętych (jeśli dotyczy) względem produktu badanego, np.:</w:t>
      </w:r>
      <w:r w:rsidRPr="00591F8B">
        <w:rPr>
          <w:rFonts w:ascii="Arial" w:eastAsia="Times New Roman" w:hAnsi="Arial" w:cs="Times New Roman"/>
          <w:b/>
          <w:u w:val="single"/>
          <w:lang w:eastAsia="pl-PL"/>
        </w:rPr>
        <w:t xml:space="preserve"> </w:t>
      </w:r>
      <w:r w:rsidRPr="00591F8B">
        <w:rPr>
          <w:rFonts w:eastAsia="Arial" w:cstheme="minorHAnsi"/>
        </w:rPr>
        <w:t>nie podjęto żadnej akcji, zmiana dawki/wstrzymanie/całkowite przerwanie podawania produktu leczniczego/ czasowa przerwa w podawaniu, zastosowanie leczenia towarzyszącego (z opisaniem szczegółów leczenia).</w:t>
      </w:r>
    </w:p>
    <w:p w14:paraId="61903F68" w14:textId="77777777" w:rsidR="0063685F" w:rsidRPr="00591F8B" w:rsidRDefault="0063685F" w:rsidP="0033607D">
      <w:pPr>
        <w:spacing w:after="0" w:line="360" w:lineRule="auto"/>
        <w:ind w:left="170" w:right="170"/>
        <w:jc w:val="both"/>
        <w:rPr>
          <w:rFonts w:ascii="Arial" w:eastAsia="Times New Roman" w:hAnsi="Arial" w:cs="Times New Roman"/>
          <w:b/>
          <w:u w:val="single"/>
          <w:lang w:eastAsia="pl-PL"/>
        </w:rPr>
      </w:pPr>
    </w:p>
    <w:p w14:paraId="3CEE8579" w14:textId="25833E69" w:rsidR="00DE4341" w:rsidRPr="00591F8B" w:rsidRDefault="0063685F" w:rsidP="0033607D">
      <w:pPr>
        <w:spacing w:after="0" w:line="276" w:lineRule="auto"/>
        <w:ind w:left="170"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 xml:space="preserve">Zdarzenia niepożądane </w:t>
      </w:r>
      <w:r w:rsidR="00AB1E66" w:rsidRPr="00591F8B">
        <w:rPr>
          <w:rFonts w:eastAsia="Arial" w:cstheme="minorHAnsi"/>
          <w:b/>
          <w:bCs/>
        </w:rPr>
        <w:t>o szczególnym znaczeniu</w:t>
      </w:r>
      <w:r w:rsidRPr="00591F8B">
        <w:rPr>
          <w:rFonts w:eastAsia="Arial" w:cstheme="minorHAnsi"/>
          <w:b/>
          <w:bCs/>
        </w:rPr>
        <w:t xml:space="preserve"> (</w:t>
      </w:r>
      <w:proofErr w:type="spellStart"/>
      <w:r w:rsidRPr="00591F8B">
        <w:rPr>
          <w:rFonts w:eastAsia="Arial" w:cstheme="minorHAnsi"/>
          <w:b/>
          <w:bCs/>
        </w:rPr>
        <w:t>Adverse</w:t>
      </w:r>
      <w:proofErr w:type="spellEnd"/>
      <w:r w:rsidRPr="00591F8B">
        <w:rPr>
          <w:rFonts w:eastAsia="Arial" w:cstheme="minorHAnsi"/>
          <w:b/>
          <w:bCs/>
        </w:rPr>
        <w:t xml:space="preserve"> Event of Special </w:t>
      </w:r>
      <w:proofErr w:type="spellStart"/>
      <w:r w:rsidRPr="00591F8B">
        <w:rPr>
          <w:rFonts w:eastAsia="Arial" w:cstheme="minorHAnsi"/>
          <w:b/>
          <w:bCs/>
        </w:rPr>
        <w:t>Interest</w:t>
      </w:r>
      <w:proofErr w:type="spellEnd"/>
      <w:r w:rsidRPr="00591F8B">
        <w:rPr>
          <w:rFonts w:eastAsia="Arial" w:cstheme="minorHAnsi"/>
          <w:b/>
          <w:bCs/>
        </w:rPr>
        <w:t>)</w:t>
      </w:r>
      <w:r w:rsidRPr="00591F8B">
        <w:rPr>
          <w:rFonts w:ascii="Arial" w:eastAsia="Times New Roman" w:hAnsi="Arial" w:cs="Arial"/>
          <w:lang w:eastAsia="pl-PL"/>
        </w:rPr>
        <w:t xml:space="preserve"> – </w:t>
      </w:r>
      <w:r w:rsidRPr="00591F8B">
        <w:rPr>
          <w:rFonts w:eastAsia="Arial" w:cstheme="minorHAnsi"/>
        </w:rPr>
        <w:t xml:space="preserve">jeśli Protokół wskazuje zdarzenia, które wymagają bardziej szczegółowych danych i/lub odmiennego sposobu raportowania (np. w ciągu 24 godzin od powzięcia informacji </w:t>
      </w:r>
      <w:r w:rsidR="00D602AB" w:rsidRPr="00591F8B">
        <w:rPr>
          <w:rFonts w:eastAsia="Arial" w:cstheme="minorHAnsi"/>
        </w:rPr>
        <w:br/>
      </w:r>
      <w:r w:rsidRPr="00591F8B">
        <w:rPr>
          <w:rFonts w:eastAsia="Arial" w:cstheme="minorHAnsi"/>
        </w:rPr>
        <w:t>o zdarzeniu) należy postępować zgodnie z instrukcjami zawartymi w takim Protokole badania klinicznego.</w:t>
      </w:r>
    </w:p>
    <w:p w14:paraId="0399380D" w14:textId="0D9EF3EC" w:rsidR="003A7AFC" w:rsidRPr="00591F8B" w:rsidRDefault="003A7AFC" w:rsidP="0033607D">
      <w:pPr>
        <w:pStyle w:val="Nagwek3"/>
        <w:numPr>
          <w:ilvl w:val="2"/>
          <w:numId w:val="41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lastRenderedPageBreak/>
        <w:t>Badacz jest zobowiązany do podjęcia stosownego działania mającego na celu zminimalizowanie lub całkowite ustąpienie zdarzenia niepożądanego u</w:t>
      </w:r>
      <w:r w:rsidR="000A4470" w:rsidRPr="00591F8B">
        <w:rPr>
          <w:rFonts w:asciiTheme="minorHAnsi" w:eastAsia="Arial" w:hAnsiTheme="minorHAnsi" w:cstheme="minorHAnsi"/>
          <w:color w:val="auto"/>
          <w:sz w:val="22"/>
          <w:szCs w:val="22"/>
        </w:rPr>
        <w:t> 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Uczestnika badania.</w:t>
      </w:r>
    </w:p>
    <w:p w14:paraId="3162337C" w14:textId="76AF3C80" w:rsidR="00144649" w:rsidRPr="00591F8B" w:rsidRDefault="00A87E92" w:rsidP="0033607D">
      <w:pPr>
        <w:pStyle w:val="Nagwek3"/>
        <w:numPr>
          <w:ilvl w:val="2"/>
          <w:numId w:val="41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Jeżeli zachodzi taka </w:t>
      </w:r>
      <w:r w:rsidR="000A4470" w:rsidRPr="00591F8B">
        <w:rPr>
          <w:rFonts w:asciiTheme="minorHAnsi" w:eastAsia="Arial" w:hAnsiTheme="minorHAnsi" w:cstheme="minorHAnsi"/>
          <w:color w:val="auto"/>
          <w:sz w:val="22"/>
          <w:szCs w:val="22"/>
        </w:rPr>
        <w:t>potrzeba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lub przewiduje Protokół, w badaniu stosuje 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br/>
        <w:t>się Dzienniczek Uczestnika, w którym Uczestnik zapisuje wszystkie dolegliwości/ obserwacje dotyczące samopoczucia, pojawiające się w trakcie uczestnictwa w badaniu.</w:t>
      </w:r>
    </w:p>
    <w:p w14:paraId="41074823" w14:textId="0FA2BC4F" w:rsidR="0063685F" w:rsidRPr="00591F8B" w:rsidRDefault="00A87E92" w:rsidP="0033607D">
      <w:pPr>
        <w:pStyle w:val="Nagwek3"/>
        <w:numPr>
          <w:ilvl w:val="2"/>
          <w:numId w:val="41"/>
        </w:numPr>
        <w:jc w:val="both"/>
        <w:rPr>
          <w:rFonts w:eastAsia="Arial" w:cstheme="minorHAnsi"/>
          <w:sz w:val="22"/>
          <w:szCs w:val="22"/>
        </w:rPr>
      </w:pPr>
      <w:r w:rsidRPr="00591F8B">
        <w:rPr>
          <w:rFonts w:asciiTheme="minorHAnsi" w:eastAsia="Arial" w:hAnsiTheme="minorHAnsi" w:cstheme="minorHAnsi"/>
          <w:sz w:val="22"/>
          <w:szCs w:val="22"/>
        </w:rPr>
        <w:t>Jeżeli zachodzi taka potrzeba</w:t>
      </w:r>
      <w:r w:rsidR="00DE4341" w:rsidRPr="00591F8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3685F" w:rsidRPr="00591F8B">
        <w:rPr>
          <w:rFonts w:asciiTheme="minorHAnsi" w:eastAsia="Arial" w:hAnsiTheme="minorHAnsi" w:cstheme="minorHAnsi"/>
          <w:color w:val="auto"/>
          <w:sz w:val="22"/>
          <w:szCs w:val="22"/>
        </w:rPr>
        <w:t>Badacz jest zobowiązany oceniać wyniki badań laboratoryjnych i diagnostycznych, zgodnie z zaleceniami zawartymi w</w:t>
      </w:r>
      <w:r w:rsidR="000A4470" w:rsidRPr="00591F8B">
        <w:rPr>
          <w:rFonts w:asciiTheme="minorHAnsi" w:eastAsia="Arial" w:hAnsiTheme="minorHAnsi" w:cstheme="minorHAnsi"/>
          <w:color w:val="auto"/>
          <w:sz w:val="22"/>
          <w:szCs w:val="22"/>
        </w:rPr>
        <w:t> </w:t>
      </w:r>
      <w:r w:rsidR="0063685F"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Protokole badania. </w:t>
      </w:r>
    </w:p>
    <w:p w14:paraId="4F673DA2" w14:textId="20B2E13C" w:rsidR="0063685F" w:rsidRPr="00591F8B" w:rsidRDefault="0063685F" w:rsidP="0033607D">
      <w:pPr>
        <w:pStyle w:val="Nagwek3"/>
        <w:numPr>
          <w:ilvl w:val="2"/>
          <w:numId w:val="41"/>
        </w:numPr>
        <w:jc w:val="both"/>
        <w:rPr>
          <w:rFonts w:eastAsia="Arial" w:cstheme="minorHAnsi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Monitorowanie AE jest prowadzone do rozwiązania zdarzenia, poprawy 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br/>
        <w:t xml:space="preserve">i/lub stabilizacji stanu Uczestnika, lub do momentu, w którym Badacz i Sponsor uzna, że dalsza obserwacja nie jest konieczna. Dokładny czas monitorowania </w:t>
      </w:r>
      <w:r w:rsidR="00D602AB" w:rsidRPr="00591F8B">
        <w:rPr>
          <w:rFonts w:asciiTheme="minorHAnsi" w:eastAsia="Arial" w:hAnsiTheme="minorHAnsi" w:cstheme="minorHAnsi"/>
          <w:color w:val="auto"/>
          <w:sz w:val="22"/>
          <w:szCs w:val="22"/>
        </w:rPr>
        <w:br/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jest każdorazowo definiowany w Protokole badania.</w:t>
      </w:r>
    </w:p>
    <w:p w14:paraId="46B43E4D" w14:textId="77777777" w:rsidR="0063685F" w:rsidRPr="00591F8B" w:rsidRDefault="0063685F" w:rsidP="0033607D">
      <w:pPr>
        <w:pStyle w:val="Nagwek3"/>
        <w:numPr>
          <w:ilvl w:val="2"/>
          <w:numId w:val="41"/>
        </w:numPr>
        <w:jc w:val="both"/>
        <w:rPr>
          <w:rFonts w:eastAsia="Arial" w:cstheme="minorHAnsi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Jeśli Badacz uzna, że z medycznego punktu widzenia zdarzenie niepożądane zagraża zdrowiu lub życiu Uczestnika, może wykluczyć Uczestnika z badania 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br/>
        <w:t xml:space="preserve">w każdym momencie trwania badania o czym powinien niezwłocznie poinformować Monitora Medycznego i/lub Sponsora. </w:t>
      </w:r>
    </w:p>
    <w:p w14:paraId="0BC6F0A2" w14:textId="132CF40F" w:rsidR="0063685F" w:rsidRPr="00591F8B" w:rsidRDefault="0063685F" w:rsidP="0033607D">
      <w:pPr>
        <w:pStyle w:val="Nagwek3"/>
        <w:numPr>
          <w:ilvl w:val="2"/>
          <w:numId w:val="41"/>
        </w:numPr>
        <w:jc w:val="both"/>
        <w:rPr>
          <w:rFonts w:eastAsia="Arial" w:cstheme="minorHAnsi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W sytuacjach wyjątkowych z uwagi na </w:t>
      </w:r>
      <w:r w:rsidR="005878A3"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ciężkość i 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nasilenie danego zdarzenia niepożądanego lub z uwagi na częstość występowania zdarzeń danego rodzaju, możliwe jest podjęcie działań przez Badacza mających na celu poinformowanie odpowiednich władz oraz Sponsora w celu przerwania badania. </w:t>
      </w:r>
    </w:p>
    <w:p w14:paraId="6A0A3677" w14:textId="77777777" w:rsidR="0063685F" w:rsidRPr="00591F8B" w:rsidRDefault="0063685F" w:rsidP="0033607D">
      <w:pPr>
        <w:pStyle w:val="Nagwek3"/>
        <w:numPr>
          <w:ilvl w:val="2"/>
          <w:numId w:val="41"/>
        </w:numPr>
        <w:jc w:val="both"/>
        <w:rPr>
          <w:rFonts w:eastAsia="Arial" w:cstheme="minorHAnsi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Każde zdarzenie niepożądane jest opisane w Raporcie klinicznym.</w:t>
      </w:r>
    </w:p>
    <w:p w14:paraId="0521A95C" w14:textId="109CB8C9" w:rsidR="008C399A" w:rsidRPr="00591F8B" w:rsidRDefault="0063685F" w:rsidP="0033607D">
      <w:pPr>
        <w:pStyle w:val="Nagwek3"/>
        <w:numPr>
          <w:ilvl w:val="2"/>
          <w:numId w:val="41"/>
        </w:numPr>
        <w:jc w:val="both"/>
        <w:rPr>
          <w:rFonts w:eastAsia="Arial" w:cstheme="minorHAnsi"/>
          <w:sz w:val="22"/>
          <w:szCs w:val="22"/>
        </w:rPr>
      </w:pP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Niektóre zdarzenia niepożądane mogą być raportowane do Sponsora na bieżąco w</w:t>
      </w:r>
      <w:r w:rsidR="007F5AD8">
        <w:rPr>
          <w:rFonts w:asciiTheme="minorHAnsi" w:eastAsia="Arial" w:hAnsiTheme="minorHAnsi" w:cstheme="minorHAnsi"/>
          <w:color w:val="auto"/>
          <w:sz w:val="22"/>
          <w:szCs w:val="22"/>
        </w:rPr>
        <w:t> 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>czasie trwania badania, jeżeli tak stanowi Protokół badania lub zostało to ustalone ze Sponsorem, jak również do KB/</w:t>
      </w:r>
      <w:r w:rsidR="000A4470" w:rsidRPr="00591F8B">
        <w:rPr>
          <w:rFonts w:asciiTheme="minorHAnsi" w:eastAsia="Arial" w:hAnsiTheme="minorHAnsi" w:cstheme="minorHAnsi"/>
          <w:color w:val="auto"/>
          <w:sz w:val="22"/>
          <w:szCs w:val="22"/>
        </w:rPr>
        <w:t>URPL,</w:t>
      </w:r>
      <w:r w:rsidRPr="00591F8B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jeżeli takie były zalecania tych władz oraz jeśli Badacz uzna za konieczne z powodów zapewnienia bezpieczeństwa Uczestnikom.</w:t>
      </w:r>
    </w:p>
    <w:p w14:paraId="59916FED" w14:textId="77777777" w:rsidR="008C399A" w:rsidRPr="00591F8B" w:rsidRDefault="008C399A" w:rsidP="0033607D">
      <w:pPr>
        <w:spacing w:before="120" w:after="0" w:line="276" w:lineRule="auto"/>
        <w:ind w:left="356" w:right="170"/>
        <w:jc w:val="both"/>
        <w:rPr>
          <w:rFonts w:eastAsia="Arial" w:cstheme="minorHAnsi"/>
        </w:rPr>
      </w:pPr>
    </w:p>
    <w:p w14:paraId="1A4ACF1E" w14:textId="1505F3C4" w:rsidR="0063685F" w:rsidRPr="00591F8B" w:rsidRDefault="0063685F" w:rsidP="0033607D">
      <w:pPr>
        <w:pStyle w:val="Akapitzlist"/>
        <w:keepNext/>
        <w:numPr>
          <w:ilvl w:val="1"/>
          <w:numId w:val="41"/>
        </w:numPr>
        <w:spacing w:after="0" w:line="360" w:lineRule="auto"/>
        <w:ind w:left="851" w:right="170" w:hanging="851"/>
        <w:jc w:val="both"/>
        <w:outlineLvl w:val="2"/>
        <w:rPr>
          <w:rStyle w:val="Nagwek2Znak"/>
          <w:rFonts w:asciiTheme="minorHAnsi" w:hAnsiTheme="minorHAnsi" w:cstheme="minorHAnsi"/>
          <w:b/>
          <w:bCs/>
          <w:sz w:val="22"/>
          <w:szCs w:val="22"/>
        </w:rPr>
      </w:pP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Raportowanie </w:t>
      </w:r>
      <w:r w:rsidR="00675ADD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ciężkiego (</w:t>
      </w: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poważnego</w:t>
      </w:r>
      <w:r w:rsidR="00675ADD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)</w:t>
      </w: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zdarzenia niepożądanego (SAE - </w:t>
      </w:r>
      <w:proofErr w:type="spellStart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Serious</w:t>
      </w:r>
      <w:proofErr w:type="spellEnd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Adverse</w:t>
      </w:r>
      <w:proofErr w:type="spellEnd"/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Event)</w:t>
      </w:r>
    </w:p>
    <w:p w14:paraId="41ED47AA" w14:textId="08597C9B" w:rsidR="00605E5D" w:rsidRPr="00591F8B" w:rsidRDefault="0063685F" w:rsidP="0033607D">
      <w:pPr>
        <w:pStyle w:val="Akapitzlist"/>
        <w:numPr>
          <w:ilvl w:val="2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Zasady ogólne do ustalenia przed rozpoczęciem badania klinicznego</w:t>
      </w:r>
      <w:r w:rsidR="00605E5D" w:rsidRPr="00591F8B">
        <w:rPr>
          <w:rFonts w:eastAsia="Arial" w:cstheme="minorHAnsi"/>
        </w:rPr>
        <w:t>.</w:t>
      </w:r>
    </w:p>
    <w:p w14:paraId="3B533C3D" w14:textId="160D766F" w:rsidR="000B0B06" w:rsidRPr="00591F8B" w:rsidRDefault="000B0B06" w:rsidP="0033607D">
      <w:pPr>
        <w:pStyle w:val="Akapitzlist"/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Ustalenie sposobu zgłoszenia zdarzenia (np. za pośrednictwem </w:t>
      </w:r>
      <w:proofErr w:type="spellStart"/>
      <w:r w:rsidRPr="00591F8B">
        <w:rPr>
          <w:rFonts w:eastAsia="Arial" w:cstheme="minorHAnsi"/>
        </w:rPr>
        <w:t>eCRF</w:t>
      </w:r>
      <w:proofErr w:type="spellEnd"/>
      <w:r w:rsidRPr="00591F8B">
        <w:rPr>
          <w:rFonts w:eastAsia="Arial" w:cstheme="minorHAnsi"/>
        </w:rPr>
        <w:t>, faxu, wiadomości e-mail, telefonicznie)</w:t>
      </w:r>
    </w:p>
    <w:p w14:paraId="033AB3AD" w14:textId="77777777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ascii="Calibri" w:eastAsia="Times New Roman" w:hAnsi="Calibri" w:cs="Calibri"/>
          <w:lang w:eastAsia="pl-PL"/>
        </w:rPr>
      </w:pPr>
      <w:r w:rsidRPr="00591F8B">
        <w:rPr>
          <w:rFonts w:ascii="Calibri" w:eastAsia="Arial" w:hAnsi="Calibri" w:cs="Calibri"/>
        </w:rPr>
        <w:t xml:space="preserve">Jeśli Sponsor nie udostępnia formularza zgłoszeniowego w formie papierowej, w razie potrzeby należy zastosować dokument </w:t>
      </w:r>
      <w:r w:rsidRPr="00591F8B">
        <w:rPr>
          <w:rFonts w:ascii="Calibri" w:eastAsia="Arial" w:hAnsi="Calibri" w:cs="Calibri"/>
          <w:b/>
          <w:bCs/>
        </w:rPr>
        <w:t>Załącznik nr 1</w:t>
      </w:r>
      <w:r w:rsidRPr="00591F8B">
        <w:rPr>
          <w:rFonts w:ascii="Calibri" w:eastAsia="Times New Roman" w:hAnsi="Calibri" w:cs="Calibri"/>
          <w:b/>
          <w:lang w:eastAsia="pl-PL"/>
        </w:rPr>
        <w:t xml:space="preserve"> - </w:t>
      </w:r>
      <w:proofErr w:type="spellStart"/>
      <w:r w:rsidRPr="00591F8B">
        <w:rPr>
          <w:rFonts w:ascii="Calibri" w:eastAsia="Times New Roman" w:hAnsi="Calibri" w:cs="Calibri"/>
          <w:b/>
          <w:lang w:eastAsia="pl-PL"/>
        </w:rPr>
        <w:t>Serious</w:t>
      </w:r>
      <w:proofErr w:type="spellEnd"/>
      <w:r w:rsidRPr="00591F8B">
        <w:rPr>
          <w:rFonts w:ascii="Calibri" w:eastAsia="Times New Roman" w:hAnsi="Calibri" w:cs="Calibri"/>
          <w:b/>
          <w:lang w:eastAsia="pl-PL"/>
        </w:rPr>
        <w:t xml:space="preserve"> </w:t>
      </w:r>
      <w:proofErr w:type="spellStart"/>
      <w:r w:rsidRPr="00591F8B">
        <w:rPr>
          <w:rFonts w:ascii="Calibri" w:eastAsia="Times New Roman" w:hAnsi="Calibri" w:cs="Calibri"/>
          <w:b/>
          <w:lang w:eastAsia="pl-PL"/>
        </w:rPr>
        <w:t>Adverse</w:t>
      </w:r>
      <w:proofErr w:type="spellEnd"/>
      <w:r w:rsidRPr="00591F8B">
        <w:rPr>
          <w:rFonts w:ascii="Calibri" w:eastAsia="Times New Roman" w:hAnsi="Calibri" w:cs="Calibri"/>
          <w:b/>
          <w:lang w:eastAsia="pl-PL"/>
        </w:rPr>
        <w:t xml:space="preserve"> Event Report Form (SAE Report) - Formularz CIOM </w:t>
      </w:r>
    </w:p>
    <w:p w14:paraId="7E0B9A35" w14:textId="57F5F49B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ascii="Calibri" w:eastAsia="Times New Roman" w:hAnsi="Calibri" w:cs="Calibri"/>
          <w:i/>
          <w:lang w:eastAsia="pl-PL"/>
        </w:rPr>
      </w:pPr>
      <w:r w:rsidRPr="00591F8B">
        <w:rPr>
          <w:rFonts w:ascii="Calibri" w:eastAsia="Arial" w:hAnsi="Calibri" w:cs="Calibri"/>
        </w:rPr>
        <w:t>Należy upewnić się, że w Protokole badania znajdują się numery i</w:t>
      </w:r>
      <w:r w:rsidR="000A4470" w:rsidRPr="00591F8B">
        <w:rPr>
          <w:rFonts w:ascii="Calibri" w:eastAsia="Arial" w:hAnsi="Calibri" w:cs="Calibri"/>
        </w:rPr>
        <w:t> </w:t>
      </w:r>
      <w:r w:rsidRPr="00591F8B">
        <w:rPr>
          <w:rFonts w:ascii="Calibri" w:eastAsia="Arial" w:hAnsi="Calibri" w:cs="Calibri"/>
        </w:rPr>
        <w:t xml:space="preserve">adresy kontaktowe do Sponsora/ przedstawiciela Sponsora wyznaczonego do przyjmowania zgłoszeń o ciężkich (poważnych) zdarzeniach niepożądanych (np. tzw. </w:t>
      </w:r>
      <w:proofErr w:type="spellStart"/>
      <w:r w:rsidRPr="00591F8B">
        <w:rPr>
          <w:rFonts w:ascii="Calibri" w:eastAsia="Arial" w:hAnsi="Calibri" w:cs="Calibri"/>
        </w:rPr>
        <w:t>Safety</w:t>
      </w:r>
      <w:proofErr w:type="spellEnd"/>
      <w:r w:rsidRPr="00591F8B">
        <w:rPr>
          <w:rFonts w:ascii="Calibri" w:eastAsia="Arial" w:hAnsi="Calibri" w:cs="Calibri"/>
        </w:rPr>
        <w:t xml:space="preserve"> Monitor).</w:t>
      </w:r>
    </w:p>
    <w:p w14:paraId="19057D20" w14:textId="3BE03704" w:rsidR="000B0B06" w:rsidRPr="00591F8B" w:rsidRDefault="000B0B06" w:rsidP="0033607D">
      <w:pPr>
        <w:pStyle w:val="Akapitzlist"/>
        <w:numPr>
          <w:ilvl w:val="2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lastRenderedPageBreak/>
        <w:t>Raportowanie wystąpienia SAE.</w:t>
      </w:r>
    </w:p>
    <w:p w14:paraId="313BDFA3" w14:textId="77777777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Badacz jest zobowiązany do natychmiastowego (w ciągu 24h od powzięcia informacji o zdarzeniu) zgłoszenia ciężkiego (poważnego) zdarzenia niepożądanego Sponsorowi lub do wskazanego przedstawiciela Sponsora, w formie raportu wstępnego (</w:t>
      </w:r>
      <w:proofErr w:type="spellStart"/>
      <w:r w:rsidRPr="00591F8B">
        <w:rPr>
          <w:rFonts w:eastAsia="Arial" w:cstheme="minorHAnsi"/>
        </w:rPr>
        <w:t>initial</w:t>
      </w:r>
      <w:proofErr w:type="spellEnd"/>
      <w:r w:rsidRPr="00591F8B">
        <w:rPr>
          <w:rFonts w:eastAsia="Arial" w:cstheme="minorHAnsi"/>
        </w:rPr>
        <w:t xml:space="preserve"> report).</w:t>
      </w:r>
    </w:p>
    <w:p w14:paraId="60FF300D" w14:textId="77777777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Niezależnie od ustalonego wcześniej sposobu zgłoszenia należy dążyć </w:t>
      </w:r>
      <w:r w:rsidRPr="00591F8B">
        <w:rPr>
          <w:rFonts w:eastAsia="Arial" w:cstheme="minorHAnsi"/>
        </w:rPr>
        <w:br/>
        <w:t>(jeśli to możliwe) do uzyskania potwierdzenia otrzymania zgłoszenia przez adresata.</w:t>
      </w:r>
    </w:p>
    <w:p w14:paraId="38E359A2" w14:textId="77777777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W dokumentacji źródłowej uczestnika badania należy opisać zdarzenie medyczne zgodnie z zasadami opisywania AE/SAE, jeśli zostały pozyskane odpowiednie informacje.</w:t>
      </w:r>
    </w:p>
    <w:p w14:paraId="04F27FCF" w14:textId="77777777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Jeśli zostały pozyskane niekompletne informacje, ale spełniające SAE, </w:t>
      </w:r>
      <w:r w:rsidRPr="00591F8B">
        <w:rPr>
          <w:rFonts w:eastAsia="Arial" w:cstheme="minorHAnsi"/>
        </w:rPr>
        <w:br/>
        <w:t>np.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 xml:space="preserve">uczestnik został hospitalizowany, również należy je zgłosić </w:t>
      </w:r>
      <w:r w:rsidRPr="00591F8B">
        <w:rPr>
          <w:rFonts w:eastAsia="Arial" w:cstheme="minorHAnsi"/>
        </w:rPr>
        <w:br/>
        <w:t>w wymaganym czasie.</w:t>
      </w:r>
    </w:p>
    <w:p w14:paraId="661DE783" w14:textId="76D32B54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Po uzyskaniu dokładniejszych informacji na temat ciężkiego (poważnego) zdarzenia niepożądanego lub otrzymaniu dokumentów związanych (np. karta informacyjna leczenia szpitalnego) Badacz,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  <w:b/>
          <w:bCs/>
        </w:rPr>
        <w:t>najszybciej jak to możliwe (lub w czasie określonym przez Protokół, z reguły nie później niż w ciągu 24h</w:t>
      </w:r>
      <w:r w:rsidRPr="00591F8B">
        <w:rPr>
          <w:rFonts w:ascii="Arial" w:eastAsia="Times New Roman" w:hAnsi="Arial" w:cs="Times New Roman"/>
          <w:b/>
          <w:bCs/>
          <w:lang w:eastAsia="pl-PL"/>
        </w:rPr>
        <w:t xml:space="preserve"> </w:t>
      </w:r>
      <w:r w:rsidRPr="00591F8B">
        <w:rPr>
          <w:rFonts w:eastAsia="Arial" w:cstheme="minorHAnsi"/>
        </w:rPr>
        <w:t>od pozyskania nowych informacji) przekazuje kolejny raport (</w:t>
      </w:r>
      <w:proofErr w:type="spellStart"/>
      <w:r w:rsidRPr="00591F8B">
        <w:rPr>
          <w:rFonts w:eastAsia="Arial" w:cstheme="minorHAnsi"/>
        </w:rPr>
        <w:t>follow-up</w:t>
      </w:r>
      <w:proofErr w:type="spellEnd"/>
      <w:r w:rsidRPr="00591F8B">
        <w:rPr>
          <w:rFonts w:eastAsia="Arial" w:cstheme="minorHAnsi"/>
        </w:rPr>
        <w:t xml:space="preserve"> report).</w:t>
      </w:r>
    </w:p>
    <w:p w14:paraId="24477917" w14:textId="2B9F25DD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 xml:space="preserve">Należy udokumentować w dokumentacji źródłowej uczestnika badania datę/ czas </w:t>
      </w:r>
      <w:r w:rsidR="00591F8B" w:rsidRPr="00591F8B">
        <w:rPr>
          <w:rFonts w:eastAsia="Arial" w:cstheme="minorHAnsi"/>
        </w:rPr>
        <w:t>pozyskania dodatkowych</w:t>
      </w:r>
      <w:r w:rsidRPr="00591F8B">
        <w:rPr>
          <w:rFonts w:eastAsia="Arial" w:cstheme="minorHAnsi"/>
        </w:rPr>
        <w:t xml:space="preserve"> informacji.</w:t>
      </w:r>
    </w:p>
    <w:p w14:paraId="64FD1B6E" w14:textId="26108B5A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Monitorowanie SAE jest prowadzone do rozwiązania zdarzenia, poprawy i/lub stabilizacji stanu Uczestnika, lub do momentu, w</w:t>
      </w:r>
      <w:r w:rsidR="00591F8B" w:rsidRPr="00591F8B">
        <w:rPr>
          <w:rFonts w:eastAsia="Arial" w:cstheme="minorHAnsi"/>
        </w:rPr>
        <w:t> </w:t>
      </w:r>
      <w:r w:rsidRPr="00591F8B">
        <w:rPr>
          <w:rFonts w:eastAsia="Arial" w:cstheme="minorHAnsi"/>
        </w:rPr>
        <w:t>którym Badacz i Sponsor uzna, że dalsza obserwacja nie jest konieczna. Dokładny czas monitorowania jest każdorazowo definiowany w Protokole badania.</w:t>
      </w:r>
    </w:p>
    <w:p w14:paraId="5D122E04" w14:textId="5C0F1830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  <w:b/>
          <w:bCs/>
        </w:rPr>
        <w:t>Ciąża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</w:rPr>
        <w:t xml:space="preserve">zapoczątkowana w okresie badania podlega raportowaniu </w:t>
      </w:r>
      <w:r w:rsidRPr="00591F8B">
        <w:rPr>
          <w:rFonts w:eastAsia="Arial" w:cstheme="minorHAnsi"/>
        </w:rPr>
        <w:br/>
        <w:t>i monitorowaniu wedle zasad właściwych dla ciężkich (poważnych) zdarzeń niepożądanych.</w:t>
      </w:r>
      <w:r w:rsidRPr="00591F8B">
        <w:rPr>
          <w:rFonts w:ascii="Arial" w:eastAsia="Times New Roman" w:hAnsi="Arial" w:cs="Times New Roman"/>
          <w:lang w:eastAsia="pl-PL"/>
        </w:rPr>
        <w:t xml:space="preserve"> </w:t>
      </w:r>
      <w:r w:rsidRPr="00591F8B">
        <w:rPr>
          <w:rFonts w:eastAsia="Arial" w:cstheme="minorHAnsi"/>
          <w:b/>
          <w:bCs/>
        </w:rPr>
        <w:t>Monitorowanie trwa do rozwiązania, a</w:t>
      </w:r>
      <w:r w:rsidR="00AD1E21" w:rsidRPr="00591F8B">
        <w:rPr>
          <w:rFonts w:eastAsia="Arial" w:cstheme="minorHAnsi"/>
          <w:b/>
          <w:bCs/>
        </w:rPr>
        <w:t> </w:t>
      </w:r>
      <w:r w:rsidRPr="00591F8B">
        <w:rPr>
          <w:rFonts w:eastAsia="Arial" w:cstheme="minorHAnsi"/>
          <w:b/>
          <w:bCs/>
        </w:rPr>
        <w:t>następnie 3</w:t>
      </w:r>
      <w:r w:rsidR="007F5AD8">
        <w:rPr>
          <w:rFonts w:eastAsia="Arial" w:cstheme="minorHAnsi"/>
          <w:b/>
          <w:bCs/>
        </w:rPr>
        <w:t> </w:t>
      </w:r>
      <w:r w:rsidRPr="00591F8B">
        <w:rPr>
          <w:rFonts w:eastAsia="Arial" w:cstheme="minorHAnsi"/>
          <w:b/>
          <w:bCs/>
        </w:rPr>
        <w:t>miesiące po porodzie, o ile Protokół nie stanowi inaczej.</w:t>
      </w:r>
    </w:p>
    <w:p w14:paraId="1D7C2E3D" w14:textId="77777777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Każdy Uczestnik, u którego wystąpi ciężkie (poważne) zdarzenie niepożądane, jeśli zachodzi taka potrzeba, będzie objęty dodatkową opieką lekarską według ustaleń Protokołu badania, jak również ustalonego przez Badacza harmonogramu kontrolnych badań lekarskich, w tym również badań dodatkowych (np. EKG, badań laboratoryjnych).</w:t>
      </w:r>
    </w:p>
    <w:p w14:paraId="4006AB62" w14:textId="3C5CF93D" w:rsidR="000B0B06" w:rsidRPr="00591F8B" w:rsidRDefault="000B0B06" w:rsidP="0033607D">
      <w:pPr>
        <w:numPr>
          <w:ilvl w:val="3"/>
          <w:numId w:val="41"/>
        </w:numPr>
        <w:spacing w:before="120" w:after="0" w:line="276" w:lineRule="auto"/>
        <w:ind w:right="170"/>
        <w:jc w:val="both"/>
        <w:rPr>
          <w:rFonts w:eastAsia="Arial" w:cstheme="minorHAnsi"/>
        </w:rPr>
      </w:pPr>
      <w:r w:rsidRPr="00591F8B">
        <w:rPr>
          <w:rFonts w:eastAsia="Arial" w:cstheme="minorHAnsi"/>
        </w:rPr>
        <w:t>Kopie wszystkich raportów z ciężkich (poważnych) zdarzeń niepożądanych są dołączane do dokumentacji badania.</w:t>
      </w:r>
    </w:p>
    <w:p w14:paraId="7A75B410" w14:textId="6DB73E94" w:rsidR="00605E5D" w:rsidRPr="00591F8B" w:rsidRDefault="00605E5D" w:rsidP="0033607D">
      <w:pPr>
        <w:spacing w:before="120" w:after="0" w:line="276" w:lineRule="auto"/>
        <w:ind w:left="1260" w:right="170"/>
        <w:jc w:val="both"/>
        <w:rPr>
          <w:rFonts w:eastAsia="Arial" w:cstheme="minorHAnsi"/>
        </w:rPr>
      </w:pPr>
    </w:p>
    <w:p w14:paraId="018291A7" w14:textId="7B371DFD" w:rsidR="005E7108" w:rsidRPr="00591F8B" w:rsidRDefault="005E7108" w:rsidP="0033607D">
      <w:pPr>
        <w:pStyle w:val="Akapitzlist"/>
        <w:keepNext/>
        <w:numPr>
          <w:ilvl w:val="1"/>
          <w:numId w:val="38"/>
        </w:numPr>
        <w:spacing w:after="0" w:line="360" w:lineRule="auto"/>
        <w:ind w:right="170"/>
        <w:jc w:val="both"/>
        <w:outlineLvl w:val="2"/>
        <w:rPr>
          <w:rStyle w:val="Nagwek2Znak"/>
          <w:rFonts w:asciiTheme="minorHAnsi" w:hAnsiTheme="minorHAnsi" w:cstheme="minorHAnsi"/>
          <w:b/>
          <w:bCs/>
          <w:sz w:val="22"/>
          <w:szCs w:val="22"/>
        </w:rPr>
      </w:pP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Zgłoszenie podejrzewanego niespodziewanego ciężkiego (</w:t>
      </w:r>
      <w:r w:rsidR="00591F8B"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>poważnego) niepożądanego</w:t>
      </w:r>
      <w:r w:rsidRPr="00591F8B">
        <w:rPr>
          <w:rStyle w:val="Nagwek2Znak"/>
          <w:rFonts w:asciiTheme="minorHAnsi" w:hAnsiTheme="minorHAnsi" w:cstheme="minorHAnsi"/>
          <w:b/>
          <w:bCs/>
          <w:sz w:val="22"/>
          <w:szCs w:val="22"/>
        </w:rPr>
        <w:t xml:space="preserve"> działania produktu leczniczego (SUSAR):</w:t>
      </w:r>
    </w:p>
    <w:p w14:paraId="299EC04F" w14:textId="762A0540" w:rsidR="0063685F" w:rsidRPr="00591F8B" w:rsidRDefault="008C399A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ascii="Arial" w:eastAsia="Times New Roman" w:hAnsi="Arial" w:cs="Times New Roman"/>
          <w:lang w:eastAsia="pl-PL"/>
        </w:rPr>
      </w:pPr>
      <w:r w:rsidRPr="00591F8B">
        <w:rPr>
          <w:rFonts w:eastAsia="Times New Roman"/>
          <w:lang w:eastAsia="pl-PL"/>
        </w:rPr>
        <w:t>W</w:t>
      </w:r>
      <w:r w:rsidR="0063685F" w:rsidRPr="00591F8B">
        <w:rPr>
          <w:rFonts w:eastAsia="Times New Roman"/>
          <w:lang w:eastAsia="pl-PL"/>
        </w:rPr>
        <w:t xml:space="preserve"> warunkach badania klinicznego związek przyczynowy z IMP uważa </w:t>
      </w:r>
      <w:r w:rsidR="00D602AB" w:rsidRPr="00591F8B">
        <w:rPr>
          <w:rFonts w:eastAsia="Times New Roman"/>
          <w:lang w:eastAsia="pl-PL"/>
        </w:rPr>
        <w:br/>
      </w:r>
      <w:r w:rsidR="0063685F" w:rsidRPr="00591F8B">
        <w:rPr>
          <w:rFonts w:eastAsia="Times New Roman"/>
          <w:lang w:eastAsia="pl-PL"/>
        </w:rPr>
        <w:t xml:space="preserve">się za podejrzany lub nie w odniesieniu do każdego pojedynczego zdarzenia niepożądanego. Jeśli Badacz stosuje kategorie przyczynowości klasyfikacji WHO podczas oceny związku przyczynowego, „wysoce prawdopodobne”, „prawdopodobne”, „możliwe” Sponsor powinien uznać zdarzenie </w:t>
      </w:r>
      <w:r w:rsidR="00D602AB" w:rsidRPr="00591F8B">
        <w:rPr>
          <w:rFonts w:eastAsia="Times New Roman"/>
          <w:lang w:eastAsia="pl-PL"/>
        </w:rPr>
        <w:br/>
      </w:r>
      <w:r w:rsidR="0063685F" w:rsidRPr="00591F8B">
        <w:rPr>
          <w:rFonts w:eastAsia="Times New Roman"/>
          <w:lang w:eastAsia="pl-PL"/>
        </w:rPr>
        <w:t xml:space="preserve">za powiązane, a „mało prawdopodobne” i „nie powiązane” można uznać </w:t>
      </w:r>
      <w:r w:rsidR="00D602AB" w:rsidRPr="00591F8B">
        <w:rPr>
          <w:rFonts w:eastAsia="Times New Roman"/>
          <w:lang w:eastAsia="pl-PL"/>
        </w:rPr>
        <w:br/>
      </w:r>
      <w:r w:rsidR="0063685F" w:rsidRPr="00591F8B">
        <w:rPr>
          <w:rFonts w:eastAsia="Times New Roman"/>
          <w:lang w:eastAsia="pl-PL"/>
        </w:rPr>
        <w:t>za niepowiązane. W przypadku zdarzeń niepożądanych ocenionych jako „nieznane” lub „nieocenione”, w odniesieniu do których Badacz nie może podjąć decyzji w sprawie powiązania z IMP, zgodnie z wytycznymi Komisji Europejskiej CT-3, Sponsor powinien skonsultować się z Badaczem zgłaszającym i zachęcić go do wyrażenia opinii</w:t>
      </w:r>
      <w:r w:rsidR="0063685F" w:rsidRPr="00591F8B">
        <w:rPr>
          <w:rFonts w:ascii="Arial" w:eastAsia="Times New Roman" w:hAnsi="Arial" w:cs="Times New Roman"/>
          <w:lang w:eastAsia="pl-PL"/>
        </w:rPr>
        <w:t>.</w:t>
      </w:r>
    </w:p>
    <w:p w14:paraId="75D053C2" w14:textId="63074995" w:rsidR="0063685F" w:rsidRPr="00591F8B" w:rsidRDefault="0063685F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Sponsor nie powinien obniżać oceny związku przyczynowego podanej przez Badacza. </w:t>
      </w:r>
    </w:p>
    <w:p w14:paraId="542A40F2" w14:textId="77777777" w:rsidR="0063685F" w:rsidRPr="00591F8B" w:rsidRDefault="0063685F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Jeśli Sponsor nie zgadza się z oceną przyczynowości podaną przez Badacza, raport powinien zawierać opinię zarówno Badacza, jak i Sponsora. </w:t>
      </w:r>
    </w:p>
    <w:p w14:paraId="740A6D56" w14:textId="619DBDBE" w:rsidR="0063685F" w:rsidRPr="00591F8B" w:rsidRDefault="0063685F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Jeżeli (pomimo wszystkich wysiłków) nie można dokonać oceny związku przyczynowego, te SAE należy uznać za powiązane z IMP i zgłaszać jako podejrzewane niespodziewane </w:t>
      </w:r>
      <w:r w:rsidR="007B5C8B" w:rsidRPr="00591F8B">
        <w:rPr>
          <w:rFonts w:eastAsia="Times New Roman" w:cstheme="minorHAnsi"/>
          <w:lang w:eastAsia="pl-PL"/>
        </w:rPr>
        <w:t>ciężkie (</w:t>
      </w:r>
      <w:r w:rsidRPr="00591F8B">
        <w:rPr>
          <w:rFonts w:eastAsia="Times New Roman" w:cstheme="minorHAnsi"/>
          <w:lang w:eastAsia="pl-PL"/>
        </w:rPr>
        <w:t>poważne</w:t>
      </w:r>
      <w:r w:rsidR="007B5C8B" w:rsidRPr="00591F8B">
        <w:rPr>
          <w:rFonts w:eastAsia="Times New Roman" w:cstheme="minorHAnsi"/>
          <w:lang w:eastAsia="pl-PL"/>
        </w:rPr>
        <w:t>)</w:t>
      </w:r>
      <w:r w:rsidRPr="00591F8B">
        <w:rPr>
          <w:rFonts w:eastAsia="Times New Roman" w:cstheme="minorHAnsi"/>
          <w:lang w:eastAsia="pl-PL"/>
        </w:rPr>
        <w:t xml:space="preserve"> działania niepożądane, </w:t>
      </w:r>
      <w:r w:rsidR="00D602AB" w:rsidRPr="00591F8B">
        <w:rPr>
          <w:rFonts w:eastAsia="Times New Roman" w:cstheme="minorHAnsi"/>
          <w:lang w:eastAsia="pl-PL"/>
        </w:rPr>
        <w:br/>
      </w:r>
      <w:r w:rsidRPr="00591F8B">
        <w:rPr>
          <w:rFonts w:eastAsia="Times New Roman" w:cstheme="minorHAnsi"/>
          <w:lang w:eastAsia="pl-PL"/>
        </w:rPr>
        <w:t>jeśli</w:t>
      </w:r>
      <w:r w:rsidR="00D602AB" w:rsidRPr="00591F8B">
        <w:rPr>
          <w:rFonts w:eastAsia="Times New Roman" w:cstheme="minorHAnsi"/>
          <w:lang w:eastAsia="pl-PL"/>
        </w:rPr>
        <w:t xml:space="preserve"> </w:t>
      </w:r>
      <w:r w:rsidRPr="00591F8B">
        <w:rPr>
          <w:rFonts w:eastAsia="Times New Roman" w:cstheme="minorHAnsi"/>
          <w:lang w:eastAsia="pl-PL"/>
        </w:rPr>
        <w:t>nie</w:t>
      </w:r>
      <w:r w:rsidR="00D602AB" w:rsidRPr="00591F8B">
        <w:rPr>
          <w:rFonts w:eastAsia="Times New Roman" w:cstheme="minorHAnsi"/>
          <w:lang w:eastAsia="pl-PL"/>
        </w:rPr>
        <w:t xml:space="preserve"> </w:t>
      </w:r>
      <w:r w:rsidRPr="00591F8B">
        <w:rPr>
          <w:rFonts w:eastAsia="Times New Roman" w:cstheme="minorHAnsi"/>
          <w:lang w:eastAsia="pl-PL"/>
        </w:rPr>
        <w:t>są wymienione jako oczekiwane SAR (</w:t>
      </w:r>
      <w:proofErr w:type="spellStart"/>
      <w:r w:rsidRPr="00591F8B">
        <w:rPr>
          <w:rFonts w:eastAsia="Times New Roman" w:cstheme="minorHAnsi"/>
          <w:lang w:eastAsia="pl-PL"/>
        </w:rPr>
        <w:t>serious</w:t>
      </w:r>
      <w:proofErr w:type="spellEnd"/>
      <w:r w:rsidRPr="00591F8B">
        <w:rPr>
          <w:rFonts w:eastAsia="Times New Roman" w:cstheme="minorHAnsi"/>
          <w:lang w:eastAsia="pl-PL"/>
        </w:rPr>
        <w:t xml:space="preserve"> </w:t>
      </w:r>
      <w:proofErr w:type="spellStart"/>
      <w:r w:rsidRPr="00591F8B">
        <w:rPr>
          <w:rFonts w:eastAsia="Times New Roman" w:cstheme="minorHAnsi"/>
          <w:lang w:eastAsia="pl-PL"/>
        </w:rPr>
        <w:t>adverse</w:t>
      </w:r>
      <w:proofErr w:type="spellEnd"/>
      <w:r w:rsidRPr="00591F8B">
        <w:rPr>
          <w:rFonts w:eastAsia="Times New Roman" w:cstheme="minorHAnsi"/>
          <w:lang w:eastAsia="pl-PL"/>
        </w:rPr>
        <w:t xml:space="preserve"> </w:t>
      </w:r>
      <w:proofErr w:type="spellStart"/>
      <w:r w:rsidRPr="00591F8B">
        <w:rPr>
          <w:rFonts w:eastAsia="Times New Roman" w:cstheme="minorHAnsi"/>
          <w:lang w:eastAsia="pl-PL"/>
        </w:rPr>
        <w:t>reaction</w:t>
      </w:r>
      <w:proofErr w:type="spellEnd"/>
      <w:r w:rsidRPr="00591F8B">
        <w:rPr>
          <w:rFonts w:eastAsia="Times New Roman" w:cstheme="minorHAnsi"/>
          <w:lang w:eastAsia="pl-PL"/>
        </w:rPr>
        <w:t xml:space="preserve">) w RSI (Reference </w:t>
      </w:r>
      <w:proofErr w:type="spellStart"/>
      <w:r w:rsidRPr="00591F8B">
        <w:rPr>
          <w:rFonts w:eastAsia="Times New Roman" w:cstheme="minorHAnsi"/>
          <w:lang w:eastAsia="pl-PL"/>
        </w:rPr>
        <w:t>Safety</w:t>
      </w:r>
      <w:proofErr w:type="spellEnd"/>
      <w:r w:rsidRPr="00591F8B">
        <w:rPr>
          <w:rFonts w:eastAsia="Times New Roman" w:cstheme="minorHAnsi"/>
          <w:lang w:eastAsia="pl-PL"/>
        </w:rPr>
        <w:t xml:space="preserve"> Information). Zasadniczo SAE z „nieznaną przyczynowością” lub „przyczynowością nieocenioną” nie będą akceptowane w celu poparcia włączenia oczekiwanych SAR do RSI. </w:t>
      </w:r>
    </w:p>
    <w:p w14:paraId="4F116BE2" w14:textId="61DD0DAF" w:rsidR="0063685F" w:rsidRPr="00591F8B" w:rsidRDefault="0063685F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Badacz, który poweźmie podejrzenie o wystąpieniu SUSAR zgłasza </w:t>
      </w:r>
      <w:r w:rsidRPr="00591F8B">
        <w:rPr>
          <w:rFonts w:eastAsia="Times New Roman" w:cstheme="minorHAnsi"/>
          <w:lang w:eastAsia="pl-PL"/>
        </w:rPr>
        <w:br/>
        <w:t>to Sponsorowi</w:t>
      </w:r>
      <w:r w:rsidR="00C220B1" w:rsidRPr="00591F8B">
        <w:rPr>
          <w:rFonts w:eastAsia="Times New Roman" w:cstheme="minorHAnsi"/>
          <w:lang w:eastAsia="pl-PL"/>
        </w:rPr>
        <w:t>.</w:t>
      </w:r>
      <w:r w:rsidRPr="00591F8B">
        <w:rPr>
          <w:rFonts w:eastAsia="Times New Roman" w:cstheme="minorHAnsi"/>
          <w:lang w:eastAsia="pl-PL"/>
        </w:rPr>
        <w:t xml:space="preserve">  </w:t>
      </w:r>
    </w:p>
    <w:p w14:paraId="6A64AFD1" w14:textId="0AB024A8" w:rsidR="0063685F" w:rsidRPr="00591F8B" w:rsidRDefault="0063685F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Opis niespodziewanego </w:t>
      </w:r>
      <w:r w:rsidR="00AD428A" w:rsidRPr="00591F8B">
        <w:rPr>
          <w:rFonts w:eastAsia="Times New Roman" w:cstheme="minorHAnsi"/>
          <w:lang w:eastAsia="pl-PL"/>
        </w:rPr>
        <w:t>ciężkiego (</w:t>
      </w:r>
      <w:r w:rsidRPr="00591F8B">
        <w:rPr>
          <w:rFonts w:eastAsia="Times New Roman" w:cstheme="minorHAnsi"/>
          <w:lang w:eastAsia="pl-PL"/>
        </w:rPr>
        <w:t>poważnego</w:t>
      </w:r>
      <w:r w:rsidR="00AD428A" w:rsidRPr="00591F8B">
        <w:rPr>
          <w:rFonts w:eastAsia="Times New Roman" w:cstheme="minorHAnsi"/>
          <w:lang w:eastAsia="pl-PL"/>
        </w:rPr>
        <w:t>)</w:t>
      </w:r>
      <w:r w:rsidRPr="00591F8B">
        <w:rPr>
          <w:rFonts w:eastAsia="Times New Roman" w:cstheme="minorHAnsi"/>
          <w:lang w:eastAsia="pl-PL"/>
        </w:rPr>
        <w:t xml:space="preserve"> niepożądanego działania produktu leczniczego Badacz przytacza w oryginalnym brzmieniu podanym przez osobę zgłaszającą. </w:t>
      </w:r>
    </w:p>
    <w:p w14:paraId="10F9FCA0" w14:textId="422927B7" w:rsidR="005E7108" w:rsidRPr="00591F8B" w:rsidRDefault="005E7108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Sponsor a dokładnie jednostka </w:t>
      </w:r>
      <w:r w:rsidRPr="00591F8B">
        <w:rPr>
          <w:lang w:eastAsia="pl-PL"/>
        </w:rPr>
        <w:t>organizacyjna odpowiedzialna za pharmacovigilance</w:t>
      </w:r>
      <w:r w:rsidRPr="00591F8B">
        <w:rPr>
          <w:rFonts w:ascii="Arial" w:hAnsi="Arial" w:cs="Times New Roman"/>
          <w:lang w:eastAsia="pl-PL"/>
        </w:rPr>
        <w:t xml:space="preserve"> </w:t>
      </w:r>
      <w:r w:rsidRPr="00591F8B">
        <w:rPr>
          <w:lang w:eastAsia="pl-PL"/>
        </w:rPr>
        <w:t>jest odpowiedzialna</w:t>
      </w:r>
      <w:r w:rsidRPr="00591F8B">
        <w:rPr>
          <w:rFonts w:eastAsia="Times New Roman" w:cstheme="minorHAnsi"/>
          <w:lang w:eastAsia="pl-PL"/>
        </w:rPr>
        <w:t xml:space="preserve"> </w:t>
      </w:r>
      <w:r w:rsidRPr="00591F8B">
        <w:rPr>
          <w:lang w:eastAsia="pl-PL"/>
        </w:rPr>
        <w:t>za zgłoszenie za pośrednictwem</w:t>
      </w:r>
      <w:r w:rsidRPr="00591F8B">
        <w:rPr>
          <w:b/>
          <w:bCs/>
          <w:lang w:eastAsia="pl-PL"/>
        </w:rPr>
        <w:t xml:space="preserve"> </w:t>
      </w:r>
      <w:r w:rsidRPr="00591F8B">
        <w:rPr>
          <w:lang w:eastAsia="pl-PL"/>
        </w:rPr>
        <w:t xml:space="preserve">systemu </w:t>
      </w:r>
      <w:proofErr w:type="spellStart"/>
      <w:r w:rsidRPr="00591F8B">
        <w:rPr>
          <w:lang w:eastAsia="pl-PL"/>
        </w:rPr>
        <w:t>Eudravigilance</w:t>
      </w:r>
      <w:proofErr w:type="spellEnd"/>
      <w:r w:rsidRPr="00591F8B">
        <w:rPr>
          <w:b/>
          <w:bCs/>
          <w:lang w:eastAsia="pl-PL"/>
        </w:rPr>
        <w:t xml:space="preserve"> </w:t>
      </w:r>
      <w:r w:rsidRPr="00591F8B">
        <w:rPr>
          <w:lang w:eastAsia="pl-PL"/>
        </w:rPr>
        <w:t>ciężkiego (</w:t>
      </w:r>
      <w:r w:rsidR="007F5AD8" w:rsidRPr="00591F8B">
        <w:rPr>
          <w:lang w:eastAsia="pl-PL"/>
        </w:rPr>
        <w:t>poważnego) i</w:t>
      </w:r>
      <w:r w:rsidRPr="00591F8B">
        <w:rPr>
          <w:lang w:eastAsia="pl-PL"/>
        </w:rPr>
        <w:t> jednocześnie niespodziewanego działania niepożądanego</w:t>
      </w:r>
      <w:r w:rsidRPr="00591F8B">
        <w:rPr>
          <w:b/>
          <w:bCs/>
          <w:lang w:eastAsia="pl-PL"/>
        </w:rPr>
        <w:t xml:space="preserve"> (SUSAR) w ciągu 7 dni </w:t>
      </w:r>
      <w:r w:rsidRPr="00591F8B">
        <w:rPr>
          <w:lang w:eastAsia="pl-PL"/>
        </w:rPr>
        <w:t>(śmiertelnego lub zagrażającego życiu)</w:t>
      </w:r>
      <w:r w:rsidRPr="00591F8B">
        <w:rPr>
          <w:b/>
          <w:bCs/>
          <w:lang w:eastAsia="pl-PL"/>
        </w:rPr>
        <w:t xml:space="preserve"> </w:t>
      </w:r>
      <w:r w:rsidRPr="00591F8B">
        <w:rPr>
          <w:lang w:eastAsia="pl-PL"/>
        </w:rPr>
        <w:t>i </w:t>
      </w:r>
      <w:r w:rsidRPr="00591F8B">
        <w:rPr>
          <w:b/>
          <w:bCs/>
          <w:lang w:eastAsia="pl-PL"/>
        </w:rPr>
        <w:t>15 dni</w:t>
      </w:r>
      <w:r w:rsidRPr="00591F8B">
        <w:rPr>
          <w:rFonts w:ascii="Arial" w:hAnsi="Arial" w:cs="Times New Roman"/>
          <w:lang w:eastAsia="pl-PL"/>
        </w:rPr>
        <w:t xml:space="preserve"> (nieśmiertelnego lub niezagrażającego życiu)</w:t>
      </w:r>
      <w:r w:rsidRPr="00591F8B">
        <w:rPr>
          <w:lang w:eastAsia="pl-PL"/>
        </w:rPr>
        <w:t xml:space="preserve"> od uzyskania przez Sponsora pierwszej informacji na ich temat.</w:t>
      </w:r>
    </w:p>
    <w:p w14:paraId="56A28378" w14:textId="0CBD4E45" w:rsidR="008A65EC" w:rsidRPr="00591F8B" w:rsidRDefault="008A65EC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Zgłoszenie niespodziewanego ciężkiego (poważnego) niepożądanego działania produktu leczniczego Sponsor sporządza na formularzu </w:t>
      </w:r>
      <w:r w:rsidR="005E7108" w:rsidRPr="00591F8B">
        <w:rPr>
          <w:rFonts w:eastAsia="Times New Roman" w:cstheme="minorHAnsi"/>
          <w:lang w:eastAsia="pl-PL"/>
        </w:rPr>
        <w:t xml:space="preserve">  </w:t>
      </w:r>
      <w:r w:rsidRPr="00591F8B">
        <w:rPr>
          <w:rFonts w:eastAsia="Times New Roman" w:cstheme="minorHAnsi"/>
          <w:lang w:eastAsia="pl-PL"/>
        </w:rPr>
        <w:t>CIOMS (</w:t>
      </w:r>
      <w:proofErr w:type="spellStart"/>
      <w:r w:rsidRPr="00591F8B">
        <w:rPr>
          <w:rFonts w:eastAsia="Times New Roman" w:cstheme="minorHAnsi"/>
          <w:lang w:eastAsia="pl-PL"/>
        </w:rPr>
        <w:t>Council</w:t>
      </w:r>
      <w:proofErr w:type="spellEnd"/>
      <w:r w:rsidRPr="00591F8B">
        <w:rPr>
          <w:rFonts w:eastAsia="Times New Roman" w:cstheme="minorHAnsi"/>
          <w:lang w:eastAsia="pl-PL"/>
        </w:rPr>
        <w:t xml:space="preserve"> for International Organizations of Medical </w:t>
      </w:r>
      <w:proofErr w:type="spellStart"/>
      <w:r w:rsidRPr="00591F8B">
        <w:rPr>
          <w:rFonts w:eastAsia="Times New Roman" w:cstheme="minorHAnsi"/>
          <w:lang w:eastAsia="pl-PL"/>
        </w:rPr>
        <w:t>Sciences</w:t>
      </w:r>
      <w:proofErr w:type="spellEnd"/>
      <w:r w:rsidRPr="00591F8B">
        <w:rPr>
          <w:rFonts w:eastAsia="Times New Roman" w:cstheme="minorHAnsi"/>
          <w:lang w:eastAsia="pl-PL"/>
        </w:rPr>
        <w:t>) zgodnie z obowiązującym rozporządzeniem Ministra Zdrowia.</w:t>
      </w:r>
    </w:p>
    <w:p w14:paraId="57A18693" w14:textId="7909FC09" w:rsidR="0063685F" w:rsidRPr="00591F8B" w:rsidRDefault="0063685F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Zasady raportowania określa art. 37aa ustawy Prawo farmaceutyczne. Raport powinien zawierać: dane identyfikacyjne pacjenta, w tym inicjały, płeć i wiek; dane </w:t>
      </w:r>
      <w:r w:rsidRPr="00591F8B">
        <w:rPr>
          <w:rFonts w:eastAsia="Times New Roman" w:cstheme="minorHAnsi"/>
          <w:lang w:eastAsia="pl-PL"/>
        </w:rPr>
        <w:lastRenderedPageBreak/>
        <w:t>identyfikacyjne sponsora lub badacza (jeżeli raport składa badacz będący jednocześnie sponsorem badania); nazwę lub symbol produktu leczniczego, którego stosowanie spowodowało podejrzenie niespodziewanego ciężkiego niepożądanego działania; opis niespodziewanego ciężkiego niepożądanego działania; pieczęć i podpis lekarza (jeżeli dotyczy); numer protokołu badania klinicznego; numer pod którym dokonano wpisu badania do Centralnej Ewidencji Badań Klinicznych.</w:t>
      </w:r>
    </w:p>
    <w:p w14:paraId="1532DE36" w14:textId="087A5D5E" w:rsidR="00E83EEC" w:rsidRPr="00591F8B" w:rsidRDefault="008A65EC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 Do dnia 30 stycznia 2025 r. przyjąć należy niniejszy sposób raportowania:  </w:t>
      </w:r>
      <w:r w:rsidR="00E83EEC" w:rsidRPr="00591F8B">
        <w:rPr>
          <w:rFonts w:eastAsia="Times New Roman" w:cstheme="minorHAnsi"/>
          <w:lang w:eastAsia="pl-PL"/>
        </w:rPr>
        <w:t xml:space="preserve">  </w:t>
      </w:r>
    </w:p>
    <w:p w14:paraId="35D88750" w14:textId="5DEBE2F9" w:rsidR="00E83EEC" w:rsidRPr="00591F8B" w:rsidRDefault="00E83EEC" w:rsidP="0033607D">
      <w:pPr>
        <w:pStyle w:val="Akapitzlist"/>
        <w:numPr>
          <w:ilvl w:val="0"/>
          <w:numId w:val="43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Dla badań złożonych zgodnie z przepisami rozporządzenia Parlamentu Europejskiego i Rady (UE) nr 536/2014 z dnia 16 kwietnia 2014 r. w sprawie badań klinicznych produktów leczniczych stosowanych u ludzi oraz uchylenia dyrektywy 2001/20/WE (Dz. Urz. UE L 158 z</w:t>
      </w:r>
      <w:r w:rsidR="007F5AD8">
        <w:rPr>
          <w:rFonts w:eastAsia="Times New Roman" w:cstheme="minorHAnsi"/>
          <w:lang w:eastAsia="pl-PL"/>
        </w:rPr>
        <w:t> </w:t>
      </w:r>
      <w:r w:rsidRPr="00591F8B">
        <w:rPr>
          <w:rFonts w:eastAsia="Times New Roman" w:cstheme="minorHAnsi"/>
          <w:lang w:eastAsia="pl-PL"/>
        </w:rPr>
        <w:t xml:space="preserve">27.05.2014, str. 1, z </w:t>
      </w:r>
      <w:proofErr w:type="spellStart"/>
      <w:r w:rsidRPr="00591F8B">
        <w:rPr>
          <w:rFonts w:eastAsia="Times New Roman" w:cstheme="minorHAnsi"/>
          <w:lang w:eastAsia="pl-PL"/>
        </w:rPr>
        <w:t>późn</w:t>
      </w:r>
      <w:proofErr w:type="spellEnd"/>
      <w:r w:rsidRPr="00591F8B">
        <w:rPr>
          <w:rFonts w:eastAsia="Times New Roman" w:cstheme="minorHAnsi"/>
          <w:lang w:eastAsia="pl-PL"/>
        </w:rPr>
        <w:t xml:space="preserve">. zm.), zwanego dalej „rozporządzeniem 536/2014” – a zatem za pośrednictwem portalu CTIS – roczne raporty dotyczące bezpieczeństwa pacjentów oraz zgłoszenia niespodziewanych ciężkich niepożądanych działań produktów leczniczych należy składać zgodnie z tym rozporządzeniem, tj. raporty roczne dotyczące bezpieczeństwa uczestników (ASR) do ASR </w:t>
      </w:r>
      <w:proofErr w:type="spellStart"/>
      <w:r w:rsidRPr="00591F8B">
        <w:rPr>
          <w:rFonts w:eastAsia="Times New Roman" w:cstheme="minorHAnsi"/>
          <w:lang w:eastAsia="pl-PL"/>
        </w:rPr>
        <w:t>EudraVigilance</w:t>
      </w:r>
      <w:proofErr w:type="spellEnd"/>
      <w:r w:rsidRPr="00591F8B">
        <w:rPr>
          <w:rFonts w:eastAsia="Times New Roman" w:cstheme="minorHAnsi"/>
          <w:lang w:eastAsia="pl-PL"/>
        </w:rPr>
        <w:t xml:space="preserve"> Module w portalu CTIS, a zgłoszenia niespodziewanych ciężkich niepożądanych działań (SUSAR) bezpośrednio do </w:t>
      </w:r>
      <w:proofErr w:type="spellStart"/>
      <w:r w:rsidRPr="00591F8B">
        <w:rPr>
          <w:rFonts w:eastAsia="Times New Roman" w:cstheme="minorHAnsi"/>
          <w:lang w:eastAsia="pl-PL"/>
        </w:rPr>
        <w:t>EudraVigilance</w:t>
      </w:r>
      <w:proofErr w:type="spellEnd"/>
      <w:r w:rsidRPr="00591F8B">
        <w:rPr>
          <w:rFonts w:eastAsia="Times New Roman" w:cstheme="minorHAnsi"/>
          <w:lang w:eastAsia="pl-PL"/>
        </w:rPr>
        <w:t xml:space="preserve"> Clinical Trial Module. W odniesieniu do badań prowadzonych zgodnie z rozporządzeniem 536/2014 nie jest wymagane składanie raportów z zakresu bezpieczeństwa bezpośrednio do Prezesa Urzędu.</w:t>
      </w:r>
    </w:p>
    <w:p w14:paraId="458C41FF" w14:textId="0E20B796" w:rsidR="00E83EEC" w:rsidRPr="00591F8B" w:rsidRDefault="00E83EEC" w:rsidP="0033607D">
      <w:pPr>
        <w:pStyle w:val="Akapitzlist"/>
        <w:numPr>
          <w:ilvl w:val="0"/>
          <w:numId w:val="43"/>
        </w:numPr>
        <w:spacing w:before="120" w:after="0" w:line="276" w:lineRule="auto"/>
        <w:ind w:right="170"/>
        <w:jc w:val="both"/>
        <w:rPr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Dla badań złożonych zgodnie z przepisami ustawy z dnia 6 września 2001 r. – Prawo farmaceutyczne, na podstawie art. 37aa ust. 1 i 6 ww. ustawy, </w:t>
      </w:r>
      <w:r w:rsidRPr="00591F8B">
        <w:rPr>
          <w:rFonts w:eastAsia="Times New Roman" w:cstheme="minorHAnsi"/>
          <w:lang w:eastAsia="pl-PL"/>
        </w:rPr>
        <w:br/>
        <w:t>w brzmieniu dotychczasowym, w związku z art. 90 ustawy z dnia 9 marca 2023 r. o badaniach klinicznych produktów leczniczych stosowanych u ludzi,</w:t>
      </w:r>
      <w:r w:rsidRPr="00591F8B">
        <w:rPr>
          <w:rFonts w:cstheme="minorHAnsi"/>
        </w:rPr>
        <w:t xml:space="preserve"> </w:t>
      </w:r>
      <w:r w:rsidRPr="00591F8B">
        <w:rPr>
          <w:rFonts w:cstheme="minorHAnsi"/>
        </w:rPr>
        <w:br/>
        <w:t xml:space="preserve">oraz biorąc pod uwagę treść Komunikatu Komisji Europejskiej – Szczegółowe wytyczne dotyczące zbierania, weryfikowania i prezentowania sprawozdań </w:t>
      </w:r>
      <w:r w:rsidRPr="00591F8B">
        <w:rPr>
          <w:rFonts w:cstheme="minorHAnsi"/>
        </w:rPr>
        <w:br/>
        <w:t xml:space="preserve">z niepożądanych zdarzeń i działań występujących w badaniach klinicznych produktów leczniczych przeznaczonych do stosowania u ludzi („CT-3”) (Dz. Urz. UE C 172 z 11.06.2011, str.1), zgłoszenia niespodziewanych ciężkich niepożądanych działań (SUSAR) należy składać za pośrednictwem bazy </w:t>
      </w:r>
      <w:proofErr w:type="spellStart"/>
      <w:r w:rsidRPr="00591F8B">
        <w:rPr>
          <w:rFonts w:cstheme="minorHAnsi"/>
        </w:rPr>
        <w:t>EudraVigilance</w:t>
      </w:r>
      <w:proofErr w:type="spellEnd"/>
      <w:r w:rsidRPr="00591F8B">
        <w:rPr>
          <w:rFonts w:cstheme="minorHAnsi"/>
        </w:rPr>
        <w:t xml:space="preserve"> (EVCTM).</w:t>
      </w:r>
    </w:p>
    <w:p w14:paraId="1E0B71CE" w14:textId="61D6823F" w:rsidR="00E83EEC" w:rsidRPr="00591F8B" w:rsidRDefault="00E83EEC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cstheme="minorHAnsi"/>
        </w:rPr>
      </w:pPr>
      <w:r w:rsidRPr="00591F8B">
        <w:rPr>
          <w:rFonts w:eastAsia="Times New Roman" w:cstheme="minorHAnsi"/>
          <w:lang w:eastAsia="pl-PL"/>
        </w:rPr>
        <w:t xml:space="preserve">  </w:t>
      </w:r>
      <w:r w:rsidRPr="00591F8B">
        <w:rPr>
          <w:rFonts w:cstheme="minorHAnsi"/>
        </w:rPr>
        <w:t>W przypadku badań prowadzonych zgodnie z ww. przepisami, składanie rocznych raportów dotyczących bezpieczeństwa uczestników (ASR) powinno odbywać się zależnie od statusu substancji badanej. Jeżeli dla tej samej substancji badanej co najmniej jedno badanie kliniczne jest prowadzone zgodnie z rozporządzeniem 536/2014, podczas gdy inne są objęte ustawą z dnia 6 września 2001 r. – Prawo farmaceutyczne, ASR należy złożyć za pośrednictwem bazy danych określonej w</w:t>
      </w:r>
      <w:r w:rsidR="007F5AD8">
        <w:rPr>
          <w:rFonts w:cstheme="minorHAnsi"/>
        </w:rPr>
        <w:t> </w:t>
      </w:r>
      <w:r w:rsidRPr="00591F8B">
        <w:rPr>
          <w:rFonts w:cstheme="minorHAnsi"/>
        </w:rPr>
        <w:t>rozporządzeniu 536/2014. Sponsor może wskazać wszystkie zainteresowane państwa członkowskie dla wszystkich trwających badań w UE/EOG- niezależnie od tego, czy są one prowadzone na podstawie przepisów dotychczasowych, czy też na podstawie przepisów nowych. Dla substancji czynnych niewystępujących dotąd w</w:t>
      </w:r>
      <w:r w:rsidR="007F5AD8">
        <w:rPr>
          <w:rFonts w:cstheme="minorHAnsi"/>
        </w:rPr>
        <w:t> </w:t>
      </w:r>
      <w:r w:rsidRPr="00591F8B">
        <w:rPr>
          <w:rFonts w:cstheme="minorHAnsi"/>
        </w:rPr>
        <w:t xml:space="preserve">CTIS, roczne raporty dotyczące bezpieczeństwa uczestników należy składać do </w:t>
      </w:r>
      <w:r w:rsidRPr="00591F8B">
        <w:rPr>
          <w:rFonts w:cstheme="minorHAnsi"/>
        </w:rPr>
        <w:lastRenderedPageBreak/>
        <w:t xml:space="preserve">Prezesa Urzędu drogą elektroniczną za pośrednictwem </w:t>
      </w:r>
      <w:proofErr w:type="spellStart"/>
      <w:r w:rsidRPr="00591F8B">
        <w:rPr>
          <w:rFonts w:cstheme="minorHAnsi"/>
        </w:rPr>
        <w:t>ePUAP</w:t>
      </w:r>
      <w:proofErr w:type="spellEnd"/>
      <w:r w:rsidRPr="00591F8B">
        <w:rPr>
          <w:rFonts w:cstheme="minorHAnsi"/>
        </w:rPr>
        <w:t xml:space="preserve"> lub poprzez wysłanie wiadomości zawierającej </w:t>
      </w:r>
      <w:proofErr w:type="spellStart"/>
      <w:r w:rsidRPr="00591F8B">
        <w:rPr>
          <w:rFonts w:cstheme="minorHAnsi"/>
        </w:rPr>
        <w:t>EudraLink</w:t>
      </w:r>
      <w:proofErr w:type="spellEnd"/>
      <w:r w:rsidRPr="00591F8B">
        <w:rPr>
          <w:rFonts w:cstheme="minorHAnsi"/>
        </w:rPr>
        <w:t xml:space="preserve"> na adres </w:t>
      </w:r>
      <w:hyperlink r:id="rId8" w:history="1">
        <w:r w:rsidRPr="00591F8B">
          <w:rPr>
            <w:rFonts w:cstheme="minorHAnsi"/>
            <w:u w:val="single"/>
          </w:rPr>
          <w:t>urpl@urpl.gov.pl</w:t>
        </w:r>
      </w:hyperlink>
      <w:r w:rsidRPr="00591F8B">
        <w:rPr>
          <w:rFonts w:cstheme="minorHAnsi"/>
        </w:rPr>
        <w:t>.</w:t>
      </w:r>
    </w:p>
    <w:p w14:paraId="2363BF8A" w14:textId="1856225D" w:rsidR="00D05E29" w:rsidRPr="00591F8B" w:rsidRDefault="00E83EEC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  Raportowanie powinno rozpocząć się w momencie zarejestrowania danego badania klinicznego na terenie Polski, a kończyć wraz z przesłaniem informacji </w:t>
      </w:r>
      <w:r w:rsidRPr="00591F8B">
        <w:rPr>
          <w:rFonts w:eastAsia="Times New Roman" w:cstheme="minorHAnsi"/>
          <w:lang w:eastAsia="pl-PL"/>
        </w:rPr>
        <w:br/>
        <w:t>o zakończeniu badania klinicznego na terytorium Polski.</w:t>
      </w:r>
    </w:p>
    <w:p w14:paraId="0288B9F1" w14:textId="3645AFD4" w:rsidR="00395FC3" w:rsidRPr="00591F8B" w:rsidRDefault="00B60FF3" w:rsidP="0033607D">
      <w:pPr>
        <w:pStyle w:val="Akapitzlist"/>
        <w:numPr>
          <w:ilvl w:val="2"/>
          <w:numId w:val="38"/>
        </w:numPr>
        <w:jc w:val="both"/>
        <w:rPr>
          <w:rFonts w:eastAsia="Aptos" w:cstheme="minorHAnsi"/>
          <w:kern w:val="2"/>
          <w14:ligatures w14:val="standardContextual"/>
        </w:rPr>
      </w:pPr>
      <w:r w:rsidRPr="00591F8B">
        <w:rPr>
          <w:rFonts w:cstheme="minorHAnsi"/>
          <w:lang w:eastAsia="pl-PL"/>
        </w:rPr>
        <w:t xml:space="preserve"> </w:t>
      </w:r>
      <w:r w:rsidR="00DE4341" w:rsidRPr="00591F8B">
        <w:rPr>
          <w:rFonts w:cstheme="minorHAnsi"/>
          <w:lang w:eastAsia="pl-PL"/>
        </w:rPr>
        <w:t xml:space="preserve">W </w:t>
      </w:r>
      <w:r w:rsidRPr="00591F8B">
        <w:rPr>
          <w:rFonts w:cstheme="minorHAnsi"/>
          <w:lang w:eastAsia="pl-PL"/>
        </w:rPr>
        <w:t>każdym roku prowadzenia badania klinicznego Sponsor przedkłada Prezesowi Urzędu oraz Komisji Bioetycznej, która opiniowała badanie wykaz zawierający wszystkie podejrzenia o wystąpieniu ciężkich niepożądanych działań, które wystąpiły w danym roku oraz roczny raport na temat bezpieczeństwa pacjentów.</w:t>
      </w:r>
      <w:r w:rsidR="00395FC3" w:rsidRPr="00591F8B">
        <w:rPr>
          <w:rFonts w:eastAsia="Aptos" w:cstheme="minorHAnsi"/>
          <w:kern w:val="2"/>
          <w14:ligatures w14:val="standardContextual"/>
        </w:rPr>
        <w:t xml:space="preserve"> </w:t>
      </w:r>
      <w:bookmarkStart w:id="1" w:name="_Hlk166071308"/>
    </w:p>
    <w:p w14:paraId="58FC6821" w14:textId="08060125" w:rsidR="00395FC3" w:rsidRPr="00591F8B" w:rsidRDefault="00395FC3" w:rsidP="0033607D">
      <w:pPr>
        <w:pStyle w:val="Akapitzlist"/>
        <w:numPr>
          <w:ilvl w:val="2"/>
          <w:numId w:val="38"/>
        </w:numPr>
        <w:jc w:val="both"/>
        <w:rPr>
          <w:rFonts w:eastAsia="Aptos" w:cstheme="minorHAnsi"/>
          <w:kern w:val="2"/>
          <w14:ligatures w14:val="standardContextual"/>
        </w:rPr>
      </w:pPr>
      <w:r w:rsidRPr="00591F8B">
        <w:rPr>
          <w:rFonts w:eastAsia="Aptos" w:cstheme="minorHAnsi"/>
          <w:kern w:val="2"/>
          <w14:ligatures w14:val="standardContextual"/>
        </w:rPr>
        <w:t>Badacz powinien rejestrować i dokumentować wszystkie zdarzenia niepożądane oraz zgłaszać wszystkie SAE sponsorowi, chyba że protokół stanowi inaczej. Zgłaszanie SAE sponsorowi musi odbywać się bez zbędnej zwłoki, ale nie później niż w ciągu 24 godzin od uzyskania wiedzy o zdarzeniach, chyba że w przypadku niektórych SAE protokół przewiduje, że natychmiastowe zgłoszenie nie jest wymaga</w:t>
      </w:r>
      <w:bookmarkEnd w:id="1"/>
      <w:r w:rsidRPr="00591F8B">
        <w:rPr>
          <w:rFonts w:eastAsia="Aptos" w:cstheme="minorHAnsi"/>
          <w:kern w:val="2"/>
          <w14:ligatures w14:val="standardContextual"/>
        </w:rPr>
        <w:t>ne.</w:t>
      </w:r>
    </w:p>
    <w:p w14:paraId="783E736D" w14:textId="06461509" w:rsidR="00395FC3" w:rsidRPr="00591F8B" w:rsidRDefault="00395FC3" w:rsidP="0033607D">
      <w:pPr>
        <w:pStyle w:val="Akapitzlist"/>
        <w:numPr>
          <w:ilvl w:val="2"/>
          <w:numId w:val="38"/>
        </w:numPr>
        <w:jc w:val="both"/>
        <w:rPr>
          <w:rFonts w:eastAsia="Aptos" w:cstheme="minorHAnsi"/>
          <w:kern w:val="2"/>
          <w14:ligatures w14:val="standardContextual"/>
        </w:rPr>
      </w:pPr>
      <w:r w:rsidRPr="00591F8B">
        <w:rPr>
          <w:rFonts w:eastAsia="Aptos" w:cstheme="minorHAnsi"/>
          <w:kern w:val="2"/>
          <w14:ligatures w14:val="standardContextual"/>
        </w:rPr>
        <w:t xml:space="preserve">Poszczególne SAE, z wyjątkiem SUSAR (patrz SUSAR), nie muszą być zgłaszane w CTIS lub </w:t>
      </w:r>
      <w:proofErr w:type="spellStart"/>
      <w:r w:rsidRPr="00591F8B">
        <w:rPr>
          <w:rFonts w:eastAsia="Aptos" w:cstheme="minorHAnsi"/>
          <w:kern w:val="2"/>
          <w14:ligatures w14:val="standardContextual"/>
        </w:rPr>
        <w:t>Eudravigilance</w:t>
      </w:r>
      <w:proofErr w:type="spellEnd"/>
      <w:r w:rsidRPr="00591F8B">
        <w:rPr>
          <w:rFonts w:eastAsia="Aptos" w:cstheme="minorHAnsi"/>
          <w:kern w:val="2"/>
          <w14:ligatures w14:val="standardContextual"/>
        </w:rPr>
        <w:t>. Sponsor zamieszcza zagregowaną tabelę ze wszystkimi SAE w rocznym raporcie bezpieczeństwa (</w:t>
      </w:r>
      <w:proofErr w:type="spellStart"/>
      <w:r w:rsidR="001E3A67" w:rsidRPr="00591F8B">
        <w:rPr>
          <w:rFonts w:eastAsia="Aptos" w:cstheme="minorHAnsi"/>
          <w:kern w:val="2"/>
          <w14:ligatures w14:val="standardContextual"/>
        </w:rPr>
        <w:t>Annual</w:t>
      </w:r>
      <w:proofErr w:type="spellEnd"/>
      <w:r w:rsidR="001E3A67" w:rsidRPr="00591F8B">
        <w:rPr>
          <w:rFonts w:eastAsia="Aptos" w:cstheme="minorHAnsi"/>
          <w:kern w:val="2"/>
          <w14:ligatures w14:val="standardContextual"/>
        </w:rPr>
        <w:t xml:space="preserve"> </w:t>
      </w:r>
      <w:proofErr w:type="spellStart"/>
      <w:r w:rsidR="001E3A67" w:rsidRPr="00591F8B">
        <w:rPr>
          <w:rFonts w:eastAsia="Aptos" w:cstheme="minorHAnsi"/>
          <w:kern w:val="2"/>
          <w14:ligatures w14:val="standardContextual"/>
        </w:rPr>
        <w:t>Safety</w:t>
      </w:r>
      <w:proofErr w:type="spellEnd"/>
      <w:r w:rsidR="001E3A67" w:rsidRPr="00591F8B">
        <w:rPr>
          <w:rFonts w:eastAsia="Aptos" w:cstheme="minorHAnsi"/>
          <w:kern w:val="2"/>
          <w14:ligatures w14:val="standardContextual"/>
        </w:rPr>
        <w:t xml:space="preserve"> Report - </w:t>
      </w:r>
      <w:r w:rsidRPr="00591F8B">
        <w:rPr>
          <w:rFonts w:eastAsia="Aptos" w:cstheme="minorHAnsi"/>
          <w:kern w:val="2"/>
          <w14:ligatures w14:val="standardContextual"/>
        </w:rPr>
        <w:t>ASR), który należy przesłać do CTIS.</w:t>
      </w:r>
    </w:p>
    <w:p w14:paraId="40A24B29" w14:textId="66D4508D" w:rsidR="00B60FF3" w:rsidRPr="00591F8B" w:rsidRDefault="00B60FF3" w:rsidP="0033607D">
      <w:pPr>
        <w:pStyle w:val="Akapitzlist"/>
        <w:numPr>
          <w:ilvl w:val="2"/>
          <w:numId w:val="38"/>
        </w:numPr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Raport taki jest przygotowywany przez Sponsora badania i ma na celu przegląd, ocenę i</w:t>
      </w:r>
      <w:r w:rsidR="009C02A5">
        <w:rPr>
          <w:rFonts w:eastAsia="Times New Roman" w:cstheme="minorHAnsi"/>
          <w:lang w:eastAsia="pl-PL"/>
        </w:rPr>
        <w:t> </w:t>
      </w:r>
      <w:r w:rsidRPr="00591F8B">
        <w:rPr>
          <w:rFonts w:eastAsia="Times New Roman" w:cstheme="minorHAnsi"/>
          <w:lang w:eastAsia="pl-PL"/>
        </w:rPr>
        <w:t xml:space="preserve">uaktualnienie profilu bezpieczeństwa badanego produktu leczniczego. Jego zakres powinien być ograniczony do badanego produktu leczniczego </w:t>
      </w:r>
      <w:r w:rsidR="00D602AB" w:rsidRPr="00591F8B">
        <w:rPr>
          <w:rFonts w:eastAsia="Times New Roman" w:cstheme="minorHAnsi"/>
          <w:lang w:eastAsia="pl-PL"/>
        </w:rPr>
        <w:br/>
      </w:r>
      <w:r w:rsidRPr="00591F8B">
        <w:rPr>
          <w:rFonts w:eastAsia="Times New Roman" w:cstheme="minorHAnsi"/>
          <w:lang w:eastAsia="pl-PL"/>
        </w:rPr>
        <w:t xml:space="preserve">lub do danego badania klinicznego. Raporty należy przygotowywać w formacie DSUR (Development </w:t>
      </w:r>
      <w:proofErr w:type="spellStart"/>
      <w:r w:rsidRPr="00591F8B">
        <w:rPr>
          <w:rFonts w:eastAsia="Times New Roman" w:cstheme="minorHAnsi"/>
          <w:lang w:eastAsia="pl-PL"/>
        </w:rPr>
        <w:t>Safety</w:t>
      </w:r>
      <w:proofErr w:type="spellEnd"/>
      <w:r w:rsidRPr="00591F8B">
        <w:rPr>
          <w:rFonts w:eastAsia="Times New Roman" w:cstheme="minorHAnsi"/>
          <w:lang w:eastAsia="pl-PL"/>
        </w:rPr>
        <w:t xml:space="preserve"> Update Raport). DSUR należy tworzyć w ciągu całego cyklu życia badanego produktu leczniczego.</w:t>
      </w:r>
    </w:p>
    <w:p w14:paraId="2D2A2BD4" w14:textId="71BA21AD" w:rsidR="00B60FF3" w:rsidRPr="00591F8B" w:rsidRDefault="00B60FF3" w:rsidP="0033607D">
      <w:pPr>
        <w:pStyle w:val="Akapitzlist"/>
        <w:numPr>
          <w:ilvl w:val="2"/>
          <w:numId w:val="38"/>
        </w:numPr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Raport DSUR powinien obejmować wszystkie badania kliniczne, jakie były prowadzone w raportowanym okresie. Sponsorzy są zobowiązani </w:t>
      </w:r>
      <w:r w:rsidR="00D602AB" w:rsidRPr="00591F8B">
        <w:rPr>
          <w:rFonts w:eastAsia="Times New Roman" w:cstheme="minorHAnsi"/>
          <w:lang w:eastAsia="pl-PL"/>
        </w:rPr>
        <w:br/>
      </w:r>
      <w:r w:rsidRPr="00591F8B">
        <w:rPr>
          <w:rFonts w:eastAsia="Times New Roman" w:cstheme="minorHAnsi"/>
          <w:lang w:eastAsia="pl-PL"/>
        </w:rPr>
        <w:t xml:space="preserve">do przedłożenia DSUR w ciągu jednego roku od Development International </w:t>
      </w:r>
      <w:proofErr w:type="spellStart"/>
      <w:r w:rsidRPr="00591F8B">
        <w:rPr>
          <w:rFonts w:eastAsia="Times New Roman" w:cstheme="minorHAnsi"/>
          <w:lang w:eastAsia="pl-PL"/>
        </w:rPr>
        <w:t>Birth</w:t>
      </w:r>
      <w:proofErr w:type="spellEnd"/>
      <w:r w:rsidRPr="00591F8B">
        <w:rPr>
          <w:rFonts w:eastAsia="Times New Roman" w:cstheme="minorHAnsi"/>
          <w:lang w:eastAsia="pl-PL"/>
        </w:rPr>
        <w:t xml:space="preserve"> </w:t>
      </w:r>
      <w:proofErr w:type="spellStart"/>
      <w:r w:rsidRPr="00591F8B">
        <w:rPr>
          <w:rFonts w:eastAsia="Times New Roman" w:cstheme="minorHAnsi"/>
          <w:lang w:eastAsia="pl-PL"/>
        </w:rPr>
        <w:t>Date</w:t>
      </w:r>
      <w:proofErr w:type="spellEnd"/>
      <w:r w:rsidRPr="00591F8B">
        <w:rPr>
          <w:rFonts w:eastAsia="Times New Roman" w:cstheme="minorHAnsi"/>
          <w:lang w:eastAsia="pl-PL"/>
        </w:rPr>
        <w:t xml:space="preserve"> (DIBD - data pierwszego zezwolenia na badanie kliniczne w dowolnym kraju na świecie) i corocznego przedkładania DSUR do momentu zakończenia wszystkich otwartych badań klinicznych (zakończenia ostatniego badania klinicznego i przedłożenia raportu z</w:t>
      </w:r>
      <w:r w:rsidR="007F5AD8">
        <w:rPr>
          <w:rFonts w:eastAsia="Times New Roman" w:cstheme="minorHAnsi"/>
          <w:lang w:eastAsia="pl-PL"/>
        </w:rPr>
        <w:t> </w:t>
      </w:r>
      <w:r w:rsidRPr="00591F8B">
        <w:rPr>
          <w:rFonts w:eastAsia="Times New Roman" w:cstheme="minorHAnsi"/>
          <w:lang w:eastAsia="pl-PL"/>
        </w:rPr>
        <w:t>badania).</w:t>
      </w:r>
    </w:p>
    <w:p w14:paraId="45E025E1" w14:textId="10B72AF1" w:rsidR="00B60FF3" w:rsidRPr="00591F8B" w:rsidRDefault="00B60FF3" w:rsidP="0033607D">
      <w:pPr>
        <w:pStyle w:val="Akapitzlist"/>
        <w:numPr>
          <w:ilvl w:val="2"/>
          <w:numId w:val="38"/>
        </w:numPr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DSUR powinien zawierać między innymi: wykaz wszystkich ciężkich niepożądanych działań, które wystąpiły w danym roku oraz wykaz wszystkich ciężkich zdarzeń niepożądanych, które wystąpiły w danym roku. W związku </w:t>
      </w:r>
      <w:r w:rsidR="007F5AD8" w:rsidRPr="00591F8B">
        <w:rPr>
          <w:rFonts w:eastAsia="Times New Roman" w:cstheme="minorHAnsi"/>
          <w:lang w:eastAsia="pl-PL"/>
        </w:rPr>
        <w:t>z tym</w:t>
      </w:r>
      <w:r w:rsidRPr="00591F8B">
        <w:rPr>
          <w:rFonts w:eastAsia="Times New Roman" w:cstheme="minorHAnsi"/>
          <w:lang w:eastAsia="pl-PL"/>
        </w:rPr>
        <w:t xml:space="preserve"> nie ma powodu składać oddzielnego wykazu wszystkich ciężkich niepożądanych działań (tzw. </w:t>
      </w:r>
      <w:proofErr w:type="spellStart"/>
      <w:r w:rsidRPr="00591F8B">
        <w:rPr>
          <w:rFonts w:eastAsia="Times New Roman" w:cstheme="minorHAnsi"/>
          <w:lang w:eastAsia="pl-PL"/>
        </w:rPr>
        <w:t>line</w:t>
      </w:r>
      <w:proofErr w:type="spellEnd"/>
      <w:r w:rsidRPr="00591F8B">
        <w:rPr>
          <w:rFonts w:eastAsia="Times New Roman" w:cstheme="minorHAnsi"/>
          <w:lang w:eastAsia="pl-PL"/>
        </w:rPr>
        <w:t xml:space="preserve"> listingów) jeśli są one już zawarte w składanym raporcie DSUR.</w:t>
      </w:r>
    </w:p>
    <w:p w14:paraId="6035F958" w14:textId="4E9C7772" w:rsidR="00E83EEC" w:rsidRPr="00591F8B" w:rsidRDefault="00E83EEC" w:rsidP="0033607D">
      <w:pPr>
        <w:pStyle w:val="Akapitzlist"/>
        <w:ind w:left="126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 </w:t>
      </w:r>
    </w:p>
    <w:p w14:paraId="68A87EE9" w14:textId="77777777" w:rsidR="00B67581" w:rsidRPr="00591F8B" w:rsidRDefault="00B67581" w:rsidP="0033607D">
      <w:pPr>
        <w:pStyle w:val="Akapitzlist"/>
        <w:numPr>
          <w:ilvl w:val="0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29328292" w14:textId="77777777" w:rsidR="00B67581" w:rsidRPr="00591F8B" w:rsidRDefault="00B67581" w:rsidP="0033607D">
      <w:pPr>
        <w:pStyle w:val="Akapitzlist"/>
        <w:numPr>
          <w:ilvl w:val="0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3B023BD7" w14:textId="77777777" w:rsidR="00B67581" w:rsidRPr="00591F8B" w:rsidRDefault="00B67581" w:rsidP="0033607D">
      <w:pPr>
        <w:pStyle w:val="Akapitzlist"/>
        <w:numPr>
          <w:ilvl w:val="0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27D35334" w14:textId="77777777" w:rsidR="00B67581" w:rsidRPr="00591F8B" w:rsidRDefault="00B67581" w:rsidP="0033607D">
      <w:pPr>
        <w:pStyle w:val="Akapitzlist"/>
        <w:numPr>
          <w:ilvl w:val="0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35D511E5" w14:textId="77777777" w:rsidR="00B67581" w:rsidRPr="00591F8B" w:rsidRDefault="00B67581" w:rsidP="0033607D">
      <w:pPr>
        <w:pStyle w:val="Akapitzlist"/>
        <w:numPr>
          <w:ilvl w:val="0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3A701357" w14:textId="77777777" w:rsidR="00B67581" w:rsidRPr="00591F8B" w:rsidRDefault="00B67581" w:rsidP="0033607D">
      <w:pPr>
        <w:pStyle w:val="Akapitzlist"/>
        <w:numPr>
          <w:ilvl w:val="1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17A21013" w14:textId="77777777" w:rsidR="00B67581" w:rsidRPr="00591F8B" w:rsidRDefault="00B67581" w:rsidP="0033607D">
      <w:pPr>
        <w:pStyle w:val="Akapitzlist"/>
        <w:numPr>
          <w:ilvl w:val="1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616154E0" w14:textId="77777777" w:rsidR="00B67581" w:rsidRPr="00591F8B" w:rsidRDefault="00B67581" w:rsidP="0033607D">
      <w:pPr>
        <w:pStyle w:val="Akapitzlist"/>
        <w:numPr>
          <w:ilvl w:val="1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5EA6FB98" w14:textId="77777777" w:rsidR="00B67581" w:rsidRPr="00591F8B" w:rsidRDefault="00B67581" w:rsidP="0033607D">
      <w:pPr>
        <w:pStyle w:val="Akapitzlist"/>
        <w:numPr>
          <w:ilvl w:val="1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21757CE9" w14:textId="77777777" w:rsidR="00B67581" w:rsidRPr="00591F8B" w:rsidRDefault="00B67581" w:rsidP="0033607D">
      <w:pPr>
        <w:pStyle w:val="Akapitzlist"/>
        <w:numPr>
          <w:ilvl w:val="1"/>
          <w:numId w:val="20"/>
        </w:numPr>
        <w:tabs>
          <w:tab w:val="num" w:pos="1134"/>
        </w:tabs>
        <w:spacing w:before="120" w:after="0" w:line="276" w:lineRule="auto"/>
        <w:ind w:right="170"/>
        <w:jc w:val="both"/>
        <w:rPr>
          <w:rFonts w:eastAsia="Times New Roman" w:cstheme="minorHAnsi"/>
          <w:vanish/>
          <w:lang w:eastAsia="pl-PL"/>
        </w:rPr>
      </w:pPr>
    </w:p>
    <w:p w14:paraId="790FEC96" w14:textId="6796AD63" w:rsidR="00B67581" w:rsidRPr="00591F8B" w:rsidRDefault="00B67581" w:rsidP="0033607D">
      <w:pPr>
        <w:pStyle w:val="Akapitzlist"/>
        <w:numPr>
          <w:ilvl w:val="1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b/>
          <w:bCs/>
          <w:lang w:eastAsia="pl-PL"/>
        </w:rPr>
        <w:t xml:space="preserve">Okresowy raport o bezpieczeństwie (ang. </w:t>
      </w:r>
      <w:proofErr w:type="spellStart"/>
      <w:r w:rsidRPr="00591F8B">
        <w:rPr>
          <w:rFonts w:eastAsia="Times New Roman" w:cstheme="minorHAnsi"/>
          <w:b/>
          <w:bCs/>
          <w:lang w:eastAsia="pl-PL"/>
        </w:rPr>
        <w:t>periodic</w:t>
      </w:r>
      <w:proofErr w:type="spellEnd"/>
      <w:r w:rsidRPr="00591F8B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591F8B">
        <w:rPr>
          <w:rFonts w:eastAsia="Times New Roman" w:cstheme="minorHAnsi"/>
          <w:b/>
          <w:bCs/>
          <w:lang w:eastAsia="pl-PL"/>
        </w:rPr>
        <w:t>safety</w:t>
      </w:r>
      <w:proofErr w:type="spellEnd"/>
      <w:r w:rsidRPr="00591F8B">
        <w:rPr>
          <w:rFonts w:eastAsia="Times New Roman" w:cstheme="minorHAnsi"/>
          <w:b/>
          <w:bCs/>
          <w:lang w:eastAsia="pl-PL"/>
        </w:rPr>
        <w:t xml:space="preserve"> update report – PSUR)</w:t>
      </w:r>
      <w:r w:rsidRPr="00591F8B">
        <w:rPr>
          <w:rFonts w:eastAsia="Times New Roman" w:cstheme="minorHAnsi"/>
          <w:lang w:eastAsia="pl-PL"/>
        </w:rPr>
        <w:t xml:space="preserve"> jest to dokument, który zawiera streszczenie danych dot. korzyści i ryzyka </w:t>
      </w:r>
      <w:r w:rsidR="00D602AB" w:rsidRPr="00591F8B">
        <w:rPr>
          <w:rFonts w:eastAsia="Times New Roman" w:cstheme="minorHAnsi"/>
          <w:lang w:eastAsia="pl-PL"/>
        </w:rPr>
        <w:br/>
      </w:r>
      <w:r w:rsidRPr="00591F8B">
        <w:rPr>
          <w:rFonts w:eastAsia="Times New Roman" w:cstheme="minorHAnsi"/>
          <w:lang w:eastAsia="pl-PL"/>
        </w:rPr>
        <w:t xml:space="preserve">dla produktu leczniczego, w tym wyników wszystkich badań z uwzględnieniem ich ewentualnego wpływu na pozwolenie na dopuszczenie do obrotu, ocenę naukową równowagi ryzyko - korzyść dla produktu leczniczego, wszystkie dane dot. wielkości sprzedaży produktu leczniczego i wszelkie dane, jakimi dysponuje podmiot odpowiedzialny, </w:t>
      </w:r>
      <w:r w:rsidRPr="00591F8B">
        <w:rPr>
          <w:rFonts w:eastAsia="Times New Roman" w:cstheme="minorHAnsi"/>
          <w:lang w:eastAsia="pl-PL"/>
        </w:rPr>
        <w:lastRenderedPageBreak/>
        <w:t>związane z liczbą wydawanych recept, w tym szacunki dot. ludności narażonej na działanie danego produktu leczniczego.</w:t>
      </w:r>
    </w:p>
    <w:p w14:paraId="6B4A95A5" w14:textId="6D4B0690" w:rsidR="00B67581" w:rsidRPr="00591F8B" w:rsidRDefault="00B67581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Od 13 czerwca 2016 roku podmioty odpowiedzialne w obrębie Europejskiego Obszaru Gospodarczego (ang. </w:t>
      </w:r>
      <w:proofErr w:type="spellStart"/>
      <w:r w:rsidRPr="00591F8B">
        <w:rPr>
          <w:rFonts w:eastAsia="Times New Roman" w:cstheme="minorHAnsi"/>
          <w:lang w:eastAsia="pl-PL"/>
        </w:rPr>
        <w:t>European</w:t>
      </w:r>
      <w:proofErr w:type="spellEnd"/>
      <w:r w:rsidRPr="00591F8B">
        <w:rPr>
          <w:rFonts w:eastAsia="Times New Roman" w:cstheme="minorHAnsi"/>
          <w:lang w:eastAsia="pl-PL"/>
        </w:rPr>
        <w:t xml:space="preserve"> </w:t>
      </w:r>
      <w:proofErr w:type="spellStart"/>
      <w:r w:rsidRPr="00591F8B">
        <w:rPr>
          <w:rFonts w:eastAsia="Times New Roman" w:cstheme="minorHAnsi"/>
          <w:lang w:eastAsia="pl-PL"/>
        </w:rPr>
        <w:t>Economic</w:t>
      </w:r>
      <w:proofErr w:type="spellEnd"/>
      <w:r w:rsidRPr="00591F8B">
        <w:rPr>
          <w:rFonts w:eastAsia="Times New Roman" w:cstheme="minorHAnsi"/>
          <w:lang w:eastAsia="pl-PL"/>
        </w:rPr>
        <w:t xml:space="preserve"> </w:t>
      </w:r>
      <w:proofErr w:type="spellStart"/>
      <w:r w:rsidRPr="00591F8B">
        <w:rPr>
          <w:rFonts w:eastAsia="Times New Roman" w:cstheme="minorHAnsi"/>
          <w:lang w:eastAsia="pl-PL"/>
        </w:rPr>
        <w:t>Area</w:t>
      </w:r>
      <w:proofErr w:type="spellEnd"/>
      <w:r w:rsidRPr="00591F8B">
        <w:rPr>
          <w:rFonts w:eastAsia="Times New Roman" w:cstheme="minorHAnsi"/>
          <w:lang w:eastAsia="pl-PL"/>
        </w:rPr>
        <w:t>, EEA) mają obowiązek składać raporty PSUR dla produktów leczniczych stosowanych u ludzi bezpośrednio do Repozytorium PSUR. Repozytorium PSUR jest obowiązkowe, zarówno dla leków dopuszczonych w</w:t>
      </w:r>
      <w:r w:rsidR="007F5AD8">
        <w:rPr>
          <w:rFonts w:eastAsia="Times New Roman" w:cstheme="minorHAnsi"/>
          <w:lang w:eastAsia="pl-PL"/>
        </w:rPr>
        <w:t> </w:t>
      </w:r>
      <w:r w:rsidRPr="00591F8B">
        <w:rPr>
          <w:rFonts w:eastAsia="Times New Roman" w:cstheme="minorHAnsi"/>
          <w:lang w:eastAsia="pl-PL"/>
        </w:rPr>
        <w:t xml:space="preserve">ramach procedury centralnej, </w:t>
      </w:r>
      <w:r w:rsidR="00D602AB" w:rsidRPr="00591F8B">
        <w:rPr>
          <w:rFonts w:eastAsia="Times New Roman" w:cstheme="minorHAnsi"/>
          <w:lang w:eastAsia="pl-PL"/>
        </w:rPr>
        <w:br/>
      </w:r>
      <w:r w:rsidRPr="00591F8B">
        <w:rPr>
          <w:rFonts w:eastAsia="Times New Roman" w:cstheme="minorHAnsi"/>
          <w:lang w:eastAsia="pl-PL"/>
        </w:rPr>
        <w:t>jak i narodowej, bez względu na to czy podlegają procedurze wspólnej oceny PSUR (PSUSA), czy tylko ocenie narodowej.</w:t>
      </w:r>
    </w:p>
    <w:p w14:paraId="6A4325B3" w14:textId="77777777" w:rsidR="00B67581" w:rsidRPr="00591F8B" w:rsidRDefault="00B67581" w:rsidP="0033607D">
      <w:pPr>
        <w:pStyle w:val="Akapitzlist"/>
        <w:numPr>
          <w:ilvl w:val="2"/>
          <w:numId w:val="38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Składanie raportów PSUR zazwyczaj nie jest wymagane dla następujących rodzajów produktów leczniczych:</w:t>
      </w:r>
    </w:p>
    <w:p w14:paraId="0D66A5B6" w14:textId="10E3D4C8" w:rsidR="00996C02" w:rsidRPr="00591F8B" w:rsidRDefault="00996C02" w:rsidP="0033607D">
      <w:pPr>
        <w:pStyle w:val="Akapitzlist"/>
        <w:numPr>
          <w:ilvl w:val="0"/>
          <w:numId w:val="24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leki odtwórcze (dopuszczone na podstawie art. 10(1) dyrektywy 2001/83/WE)</w:t>
      </w:r>
    </w:p>
    <w:p w14:paraId="7DE68A09" w14:textId="6B8D5573" w:rsidR="00996C02" w:rsidRPr="00591F8B" w:rsidRDefault="00996C02" w:rsidP="0033607D">
      <w:pPr>
        <w:pStyle w:val="Akapitzlist"/>
        <w:numPr>
          <w:ilvl w:val="0"/>
          <w:numId w:val="24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leki o ugruntowanym zastosowaniu medycznym (dopuszczone na podstawie art. 10a dyrektywy 2001/83/WE),</w:t>
      </w:r>
    </w:p>
    <w:p w14:paraId="73D4CD75" w14:textId="77777777" w:rsidR="00996C02" w:rsidRPr="00591F8B" w:rsidRDefault="00996C02" w:rsidP="0033607D">
      <w:pPr>
        <w:pStyle w:val="Akapitzlist"/>
        <w:numPr>
          <w:ilvl w:val="0"/>
          <w:numId w:val="24"/>
        </w:numPr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tradycyjne leki roślinne (dopuszczone na podstawie art. 16a dyrektywy 2001/83/WE),</w:t>
      </w:r>
    </w:p>
    <w:p w14:paraId="41F3AF4A" w14:textId="101CC73A" w:rsidR="00996C02" w:rsidRPr="00591F8B" w:rsidRDefault="00996C02" w:rsidP="0033607D">
      <w:pPr>
        <w:pStyle w:val="Akapitzlist"/>
        <w:numPr>
          <w:ilvl w:val="0"/>
          <w:numId w:val="24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leki homeopatyczne bez wskazań i w odpowiednim rozcieńczeniu (dopuszczone na podstawie art. 14 dyrektywy 2001/83/WE).</w:t>
      </w:r>
    </w:p>
    <w:p w14:paraId="46F84E28" w14:textId="77777777" w:rsidR="00996C02" w:rsidRPr="00591F8B" w:rsidRDefault="00996C02" w:rsidP="0033607D">
      <w:pPr>
        <w:pStyle w:val="Akapitzlist"/>
        <w:numPr>
          <w:ilvl w:val="2"/>
          <w:numId w:val="38"/>
        </w:numPr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>Częstotliwość składania okresowych raportów o bezpieczeństwie może być określona w:</w:t>
      </w:r>
    </w:p>
    <w:p w14:paraId="03262459" w14:textId="4B5E549B" w:rsidR="00996C02" w:rsidRPr="00591F8B" w:rsidRDefault="00996C02" w:rsidP="0033607D">
      <w:pPr>
        <w:pStyle w:val="Akapitzlist"/>
        <w:numPr>
          <w:ilvl w:val="0"/>
          <w:numId w:val="25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pozwoleniu, </w:t>
      </w:r>
    </w:p>
    <w:p w14:paraId="14D7CD8D" w14:textId="434952F1" w:rsidR="00996C02" w:rsidRPr="00591F8B" w:rsidRDefault="00996C02" w:rsidP="0033607D">
      <w:pPr>
        <w:pStyle w:val="Akapitzlist"/>
        <w:numPr>
          <w:ilvl w:val="0"/>
          <w:numId w:val="25"/>
        </w:numPr>
        <w:spacing w:before="120" w:after="0" w:line="276" w:lineRule="auto"/>
        <w:ind w:right="170"/>
        <w:jc w:val="both"/>
        <w:rPr>
          <w:rFonts w:eastAsia="Times New Roman" w:cstheme="minorHAnsi"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liście PSUR </w:t>
      </w:r>
      <w:proofErr w:type="spellStart"/>
      <w:r w:rsidR="007F5AD8" w:rsidRPr="00591F8B">
        <w:rPr>
          <w:rFonts w:eastAsia="Times New Roman" w:cstheme="minorHAnsi"/>
          <w:lang w:eastAsia="pl-PL"/>
        </w:rPr>
        <w:t>Worksharing</w:t>
      </w:r>
      <w:proofErr w:type="spellEnd"/>
      <w:r w:rsidR="007F5AD8" w:rsidRPr="00591F8B">
        <w:rPr>
          <w:rFonts w:eastAsia="Times New Roman" w:cstheme="minorHAnsi"/>
          <w:lang w:eastAsia="pl-PL"/>
        </w:rPr>
        <w:t xml:space="preserve"> (</w:t>
      </w:r>
      <w:r w:rsidRPr="00591F8B">
        <w:rPr>
          <w:rFonts w:eastAsia="Times New Roman" w:cstheme="minorHAnsi"/>
          <w:lang w:eastAsia="pl-PL"/>
        </w:rPr>
        <w:t>substancje stopniowo przenoszone na listę EURD),</w:t>
      </w:r>
    </w:p>
    <w:p w14:paraId="3828FFA1" w14:textId="660F5AF6" w:rsidR="00B67581" w:rsidRPr="00591F8B" w:rsidRDefault="00996C02" w:rsidP="0033607D">
      <w:pPr>
        <w:pStyle w:val="Akapitzlist"/>
        <w:numPr>
          <w:ilvl w:val="0"/>
          <w:numId w:val="25"/>
        </w:numPr>
        <w:spacing w:before="120" w:after="0" w:line="276" w:lineRule="auto"/>
        <w:ind w:right="170"/>
        <w:jc w:val="both"/>
        <w:rPr>
          <w:rFonts w:eastAsia="Times New Roman" w:cstheme="minorHAnsi"/>
          <w:lang w:val="en-GB" w:eastAsia="pl-PL"/>
        </w:rPr>
      </w:pPr>
      <w:proofErr w:type="spellStart"/>
      <w:r w:rsidRPr="00591F8B">
        <w:rPr>
          <w:rFonts w:eastAsia="Times New Roman" w:cstheme="minorHAnsi"/>
          <w:lang w:val="en-GB" w:eastAsia="pl-PL"/>
        </w:rPr>
        <w:t>liście</w:t>
      </w:r>
      <w:proofErr w:type="spellEnd"/>
      <w:r w:rsidRPr="00591F8B">
        <w:rPr>
          <w:rFonts w:eastAsia="Times New Roman" w:cstheme="minorHAnsi"/>
          <w:lang w:val="en-GB" w:eastAsia="pl-PL"/>
        </w:rPr>
        <w:t xml:space="preserve"> </w:t>
      </w:r>
      <w:r w:rsidR="007F5AD8" w:rsidRPr="00591F8B">
        <w:rPr>
          <w:rFonts w:eastAsia="Times New Roman" w:cstheme="minorHAnsi"/>
          <w:lang w:val="en-GB" w:eastAsia="pl-PL"/>
        </w:rPr>
        <w:t>EURD (</w:t>
      </w:r>
      <w:r w:rsidRPr="00591F8B">
        <w:rPr>
          <w:rFonts w:eastAsia="Times New Roman" w:cstheme="minorHAnsi"/>
          <w:lang w:val="en-GB" w:eastAsia="pl-PL"/>
        </w:rPr>
        <w:t>European Union Reference Dates).</w:t>
      </w:r>
    </w:p>
    <w:p w14:paraId="0CCB1896" w14:textId="77777777" w:rsidR="00902ADF" w:rsidRPr="00591F8B" w:rsidRDefault="00902ADF" w:rsidP="0033607D">
      <w:pPr>
        <w:pStyle w:val="Teksttreci0"/>
        <w:tabs>
          <w:tab w:val="left" w:pos="378"/>
        </w:tabs>
        <w:spacing w:after="0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21A071F" w14:textId="48CA1133" w:rsidR="00B67581" w:rsidRPr="00591F8B" w:rsidRDefault="00B67581" w:rsidP="0033607D">
      <w:pPr>
        <w:pStyle w:val="Teksttreci0"/>
        <w:tabs>
          <w:tab w:val="left" w:pos="378"/>
        </w:tabs>
        <w:spacing w:after="0"/>
        <w:jc w:val="both"/>
        <w:rPr>
          <w:rStyle w:val="Teksttreci"/>
          <w:rFonts w:asciiTheme="minorHAnsi" w:hAnsiTheme="minorHAnsi" w:cstheme="minorHAnsi"/>
        </w:rPr>
      </w:pPr>
      <w:r w:rsidRPr="00591F8B">
        <w:rPr>
          <w:rFonts w:asciiTheme="minorHAnsi" w:hAnsiTheme="minorHAnsi" w:cstheme="minorHAnsi"/>
          <w:b/>
          <w:bCs/>
        </w:rPr>
        <w:t>Uwaga:</w:t>
      </w:r>
      <w:r w:rsidRPr="00591F8B">
        <w:rPr>
          <w:rFonts w:asciiTheme="minorHAnsi" w:hAnsiTheme="minorHAnsi" w:cstheme="minorHAnsi"/>
        </w:rPr>
        <w:t xml:space="preserve"> Wszystkie podmioty odpowiedzialne powinny regularnie sprawdzać</w:t>
      </w:r>
      <w:r w:rsidR="00D602AB" w:rsidRPr="00591F8B">
        <w:rPr>
          <w:rFonts w:asciiTheme="minorHAnsi" w:hAnsiTheme="minorHAnsi" w:cstheme="minorHAnsi"/>
        </w:rPr>
        <w:t xml:space="preserve"> listę EURD,</w:t>
      </w:r>
      <w:r w:rsidR="00D602AB" w:rsidRPr="00591F8B">
        <w:rPr>
          <w:rFonts w:asciiTheme="minorHAnsi" w:hAnsiTheme="minorHAnsi" w:cstheme="minorHAnsi"/>
        </w:rPr>
        <w:br/>
      </w:r>
      <w:r w:rsidRPr="00591F8B">
        <w:rPr>
          <w:rFonts w:asciiTheme="minorHAnsi" w:hAnsiTheme="minorHAnsi" w:cstheme="minorHAnsi"/>
        </w:rPr>
        <w:t>czy wymagane jest składanie raportów PSUR dla produktów dopuszczonych na podstawie</w:t>
      </w:r>
      <w:r w:rsidRPr="00591F8B">
        <w:rPr>
          <w:rFonts w:asciiTheme="minorHAnsi" w:hAnsiTheme="minorHAnsi" w:cstheme="minorHAnsi"/>
        </w:rPr>
        <w:br/>
        <w:t>art. 10(1), 10a, 14 i 16a dyrektywy 2001/83/WE.</w:t>
      </w:r>
    </w:p>
    <w:p w14:paraId="69580DC4" w14:textId="77777777" w:rsidR="00902ADF" w:rsidRPr="00591F8B" w:rsidRDefault="00902ADF" w:rsidP="0033607D">
      <w:pPr>
        <w:pStyle w:val="Teksttreci0"/>
        <w:tabs>
          <w:tab w:val="left" w:pos="378"/>
        </w:tabs>
        <w:spacing w:after="0"/>
        <w:jc w:val="both"/>
        <w:rPr>
          <w:rStyle w:val="Teksttreci"/>
          <w:rFonts w:asciiTheme="minorHAnsi" w:hAnsiTheme="minorHAnsi" w:cstheme="minorHAnsi"/>
        </w:rPr>
      </w:pPr>
    </w:p>
    <w:p w14:paraId="1250EE9B" w14:textId="4B0DBEA8" w:rsidR="00B67581" w:rsidRPr="00591F8B" w:rsidRDefault="00B67581" w:rsidP="0033607D">
      <w:pPr>
        <w:pStyle w:val="Teksttreci0"/>
        <w:tabs>
          <w:tab w:val="left" w:pos="378"/>
        </w:tabs>
        <w:spacing w:after="52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591F8B">
        <w:rPr>
          <w:rStyle w:val="Teksttreci"/>
          <w:rFonts w:asciiTheme="minorHAnsi" w:hAnsiTheme="minorHAnsi" w:cstheme="minorHAnsi"/>
        </w:rPr>
        <w:t xml:space="preserve">Okresowe raporty o bezpieczeństwie powinny być składane zgodnie z wytyczną </w:t>
      </w:r>
      <w:proofErr w:type="spellStart"/>
      <w:r w:rsidRPr="00591F8B">
        <w:rPr>
          <w:rStyle w:val="Teksttreci"/>
          <w:rFonts w:asciiTheme="minorHAnsi" w:hAnsiTheme="minorHAnsi" w:cstheme="minorHAnsi"/>
          <w:b/>
          <w:bCs/>
        </w:rPr>
        <w:t>CMDh</w:t>
      </w:r>
      <w:proofErr w:type="spellEnd"/>
      <w:r w:rsidRPr="00591F8B">
        <w:rPr>
          <w:rStyle w:val="Teksttreci"/>
          <w:rFonts w:asciiTheme="minorHAnsi" w:hAnsiTheme="minorHAnsi" w:cstheme="minorHAnsi"/>
          <w:b/>
          <w:bCs/>
        </w:rPr>
        <w:t>: „</w:t>
      </w:r>
      <w:proofErr w:type="spellStart"/>
      <w:r w:rsidRPr="00591F8B">
        <w:rPr>
          <w:rStyle w:val="Teksttreci"/>
          <w:rFonts w:asciiTheme="minorHAnsi" w:hAnsiTheme="minorHAnsi" w:cstheme="minorHAnsi"/>
          <w:b/>
          <w:bCs/>
        </w:rPr>
        <w:t>CMDh</w:t>
      </w:r>
      <w:proofErr w:type="spellEnd"/>
      <w:r w:rsidRPr="00591F8B">
        <w:rPr>
          <w:rStyle w:val="Teksttreci"/>
          <w:rFonts w:asciiTheme="minorHAnsi" w:hAnsiTheme="minorHAnsi" w:cstheme="minorHAnsi"/>
          <w:b/>
          <w:bCs/>
        </w:rPr>
        <w:t xml:space="preserve"> SOP on the </w:t>
      </w:r>
      <w:proofErr w:type="spellStart"/>
      <w:r w:rsidRPr="00591F8B">
        <w:rPr>
          <w:rStyle w:val="Teksttreci"/>
          <w:rFonts w:asciiTheme="minorHAnsi" w:hAnsiTheme="minorHAnsi" w:cstheme="minorHAnsi"/>
          <w:b/>
          <w:bCs/>
        </w:rPr>
        <w:t>processing</w:t>
      </w:r>
      <w:proofErr w:type="spellEnd"/>
      <w:r w:rsidRPr="00591F8B">
        <w:rPr>
          <w:rStyle w:val="Teksttreci"/>
          <w:rFonts w:asciiTheme="minorHAnsi" w:hAnsiTheme="minorHAnsi" w:cstheme="minorHAnsi"/>
          <w:b/>
          <w:bCs/>
        </w:rPr>
        <w:t xml:space="preserve"> of PSUR single </w:t>
      </w:r>
      <w:proofErr w:type="spellStart"/>
      <w:r w:rsidRPr="00591F8B">
        <w:rPr>
          <w:rStyle w:val="Teksttreci"/>
          <w:rFonts w:asciiTheme="minorHAnsi" w:hAnsiTheme="minorHAnsi" w:cstheme="minorHAnsi"/>
          <w:b/>
          <w:bCs/>
        </w:rPr>
        <w:t>assessment</w:t>
      </w:r>
      <w:proofErr w:type="spellEnd"/>
      <w:r w:rsidRPr="00591F8B">
        <w:rPr>
          <w:rStyle w:val="Teksttreci"/>
          <w:rFonts w:asciiTheme="minorHAnsi" w:hAnsiTheme="minorHAnsi" w:cstheme="minorHAnsi"/>
          <w:b/>
          <w:bCs/>
        </w:rPr>
        <w:t xml:space="preserve"> for </w:t>
      </w:r>
      <w:proofErr w:type="spellStart"/>
      <w:r w:rsidRPr="00591F8B">
        <w:rPr>
          <w:rStyle w:val="Teksttreci"/>
          <w:rFonts w:asciiTheme="minorHAnsi" w:hAnsiTheme="minorHAnsi" w:cstheme="minorHAnsi"/>
          <w:b/>
          <w:bCs/>
        </w:rPr>
        <w:t>nationally</w:t>
      </w:r>
      <w:proofErr w:type="spellEnd"/>
      <w:r w:rsidRPr="00591F8B">
        <w:rPr>
          <w:rStyle w:val="Teksttreci"/>
          <w:rFonts w:asciiTheme="minorHAnsi" w:hAnsiTheme="minorHAnsi" w:cstheme="minorHAnsi"/>
          <w:b/>
          <w:bCs/>
        </w:rPr>
        <w:t xml:space="preserve"> </w:t>
      </w:r>
      <w:proofErr w:type="spellStart"/>
      <w:r w:rsidRPr="00591F8B">
        <w:rPr>
          <w:rStyle w:val="Teksttreci"/>
          <w:rFonts w:asciiTheme="minorHAnsi" w:hAnsiTheme="minorHAnsi" w:cstheme="minorHAnsi"/>
          <w:b/>
          <w:bCs/>
        </w:rPr>
        <w:t>authorised</w:t>
      </w:r>
      <w:proofErr w:type="spellEnd"/>
      <w:r w:rsidRPr="00591F8B">
        <w:rPr>
          <w:rStyle w:val="Teksttreci"/>
          <w:rFonts w:asciiTheme="minorHAnsi" w:hAnsiTheme="minorHAnsi" w:cstheme="minorHAnsi"/>
          <w:b/>
          <w:bCs/>
        </w:rPr>
        <w:t xml:space="preserve"> products”.</w:t>
      </w:r>
    </w:p>
    <w:p w14:paraId="726F56C4" w14:textId="7170CB55" w:rsidR="008A0BC3" w:rsidRPr="00591F8B" w:rsidRDefault="000C182A" w:rsidP="0033607D">
      <w:pPr>
        <w:pStyle w:val="Teksttreci0"/>
        <w:numPr>
          <w:ilvl w:val="0"/>
          <w:numId w:val="38"/>
        </w:numPr>
        <w:tabs>
          <w:tab w:val="left" w:pos="378"/>
        </w:tabs>
        <w:spacing w:after="520"/>
        <w:jc w:val="both"/>
        <w:rPr>
          <w:rStyle w:val="Teksttreci"/>
          <w:rFonts w:asciiTheme="minorHAnsi" w:hAnsiTheme="minorHAnsi" w:cstheme="minorHAnsi"/>
        </w:rPr>
      </w:pPr>
      <w:r w:rsidRPr="00591F8B">
        <w:rPr>
          <w:rStyle w:val="Teksttreci"/>
          <w:rFonts w:asciiTheme="minorHAnsi" w:hAnsiTheme="minorHAnsi" w:cstheme="minorHAnsi"/>
          <w:b/>
        </w:rPr>
        <w:t xml:space="preserve">WYKAZ </w:t>
      </w:r>
      <w:r w:rsidR="00FF4C8A" w:rsidRPr="00591F8B">
        <w:rPr>
          <w:rStyle w:val="Teksttreci"/>
          <w:rFonts w:asciiTheme="minorHAnsi" w:hAnsiTheme="minorHAnsi" w:cstheme="minorHAnsi"/>
          <w:b/>
        </w:rPr>
        <w:t xml:space="preserve">DOKUMENTÓW </w:t>
      </w:r>
      <w:r w:rsidRPr="00591F8B">
        <w:rPr>
          <w:rStyle w:val="Teksttreci"/>
          <w:rFonts w:asciiTheme="minorHAnsi" w:hAnsiTheme="minorHAnsi" w:cstheme="minorHAnsi"/>
          <w:b/>
        </w:rPr>
        <w:t>POWIĄZANYCH</w:t>
      </w:r>
      <w:r w:rsidR="00892C34" w:rsidRPr="00591F8B">
        <w:rPr>
          <w:rStyle w:val="Teksttreci"/>
          <w:rFonts w:asciiTheme="minorHAnsi" w:hAnsiTheme="minorHAnsi" w:cstheme="minorHAnsi"/>
          <w:b/>
        </w:rPr>
        <w:t xml:space="preserve"> </w:t>
      </w:r>
    </w:p>
    <w:p w14:paraId="6864644D" w14:textId="5EAD2F14" w:rsidR="00B60FF3" w:rsidRPr="00591F8B" w:rsidRDefault="00B60FF3" w:rsidP="0033607D">
      <w:pPr>
        <w:spacing w:before="120" w:after="0" w:line="360" w:lineRule="auto"/>
        <w:ind w:right="170"/>
        <w:jc w:val="both"/>
        <w:rPr>
          <w:rFonts w:ascii="Arial" w:eastAsia="Times New Roman" w:hAnsi="Arial" w:cs="Times New Roman"/>
          <w:bCs/>
          <w:lang w:eastAsia="pl-PL"/>
        </w:rPr>
      </w:pPr>
      <w:r w:rsidRPr="00591F8B">
        <w:rPr>
          <w:rFonts w:eastAsia="Times New Roman" w:cstheme="minorHAnsi"/>
          <w:lang w:eastAsia="pl-PL"/>
        </w:rPr>
        <w:t xml:space="preserve">Formularz zgłoszenia SAE w języku polskim i angielskim jest dostępny pod linkiem: </w:t>
      </w:r>
    </w:p>
    <w:p w14:paraId="42D68DE5" w14:textId="2E4AA5D9" w:rsidR="007C4E88" w:rsidRPr="00591F8B" w:rsidRDefault="00000000" w:rsidP="0033607D">
      <w:pPr>
        <w:spacing w:before="120" w:after="0" w:line="360" w:lineRule="auto"/>
        <w:ind w:right="170"/>
        <w:jc w:val="both"/>
        <w:rPr>
          <w:rFonts w:eastAsia="Times New Roman" w:cstheme="minorHAnsi"/>
          <w:bCs/>
          <w:lang w:eastAsia="pl-PL"/>
        </w:rPr>
      </w:pPr>
      <w:hyperlink r:id="rId9" w:history="1">
        <w:r w:rsidR="007C4E88" w:rsidRPr="00591F8B">
          <w:rPr>
            <w:rStyle w:val="Hipercze"/>
            <w:rFonts w:eastAsia="Times New Roman" w:cstheme="minorHAnsi"/>
            <w:bCs/>
            <w:lang w:eastAsia="pl-PL"/>
          </w:rPr>
          <w:t>https://abm.gov.pl/download/1/7002/ZalacznikdoWzoruprotokolu-SAEformCIOMS.pdf</w:t>
        </w:r>
      </w:hyperlink>
      <w:r w:rsidR="007C4E88" w:rsidRPr="00591F8B">
        <w:rPr>
          <w:rFonts w:eastAsia="Times New Roman" w:cstheme="minorHAnsi"/>
          <w:bCs/>
          <w:lang w:eastAsia="pl-PL"/>
        </w:rPr>
        <w:t xml:space="preserve"> </w:t>
      </w:r>
    </w:p>
    <w:p w14:paraId="597864C9" w14:textId="77777777" w:rsidR="00902ADF" w:rsidRPr="00591F8B" w:rsidRDefault="00902ADF" w:rsidP="0033607D">
      <w:pPr>
        <w:spacing w:after="0" w:line="360" w:lineRule="auto"/>
        <w:ind w:right="170"/>
        <w:jc w:val="both"/>
        <w:rPr>
          <w:rFonts w:eastAsia="Times New Roman" w:cstheme="minorHAnsi"/>
          <w:bCs/>
          <w:lang w:eastAsia="pl-PL"/>
        </w:rPr>
      </w:pPr>
    </w:p>
    <w:p w14:paraId="418C6F4B" w14:textId="77777777" w:rsidR="008A0BC3" w:rsidRPr="00591F8B" w:rsidRDefault="00892C34" w:rsidP="0033607D">
      <w:pPr>
        <w:pStyle w:val="Teksttreci0"/>
        <w:numPr>
          <w:ilvl w:val="0"/>
          <w:numId w:val="38"/>
        </w:numPr>
        <w:tabs>
          <w:tab w:val="left" w:pos="378"/>
        </w:tabs>
        <w:spacing w:after="0"/>
        <w:jc w:val="both"/>
        <w:rPr>
          <w:rStyle w:val="Teksttreci"/>
          <w:rFonts w:asciiTheme="minorHAnsi" w:hAnsiTheme="minorHAnsi" w:cstheme="minorHAnsi"/>
        </w:rPr>
      </w:pPr>
      <w:r w:rsidRPr="00591F8B">
        <w:rPr>
          <w:rStyle w:val="Teksttreci"/>
          <w:rFonts w:asciiTheme="minorHAnsi" w:hAnsiTheme="minorHAnsi" w:cstheme="minorHAnsi"/>
          <w:b/>
        </w:rPr>
        <w:t>ZAŁĄCZNIKI</w:t>
      </w:r>
    </w:p>
    <w:p w14:paraId="0F0249FC" w14:textId="77777777" w:rsidR="00902ADF" w:rsidRPr="00591F8B" w:rsidRDefault="00902ADF" w:rsidP="0033607D">
      <w:pPr>
        <w:pStyle w:val="Teksttreci0"/>
        <w:tabs>
          <w:tab w:val="left" w:pos="378"/>
        </w:tabs>
        <w:spacing w:after="0"/>
        <w:jc w:val="both"/>
        <w:rPr>
          <w:rStyle w:val="Teksttreci"/>
          <w:rFonts w:asciiTheme="minorHAnsi" w:hAnsiTheme="minorHAnsi" w:cstheme="minorHAnsi"/>
        </w:rPr>
      </w:pPr>
    </w:p>
    <w:p w14:paraId="654BBCAD" w14:textId="76E59306" w:rsidR="000951D2" w:rsidRPr="00591F8B" w:rsidRDefault="00A61BD9" w:rsidP="0033607D">
      <w:pPr>
        <w:pStyle w:val="Teksttreci0"/>
        <w:tabs>
          <w:tab w:val="left" w:pos="378"/>
        </w:tabs>
        <w:spacing w:after="520"/>
        <w:jc w:val="both"/>
        <w:rPr>
          <w:rStyle w:val="Teksttreci"/>
          <w:rFonts w:asciiTheme="minorHAnsi" w:hAnsiTheme="minorHAnsi" w:cstheme="minorHAnsi"/>
          <w:b/>
          <w:bCs/>
        </w:rPr>
      </w:pPr>
      <w:r w:rsidRPr="00591F8B">
        <w:rPr>
          <w:rStyle w:val="Teksttreci"/>
          <w:rFonts w:asciiTheme="minorHAnsi" w:hAnsiTheme="minorHAnsi" w:cstheme="minorHAnsi"/>
          <w:b/>
          <w:bCs/>
        </w:rPr>
        <w:t xml:space="preserve">Załącznik nr 1 - </w:t>
      </w:r>
      <w:proofErr w:type="spellStart"/>
      <w:r w:rsidRPr="00591F8B">
        <w:rPr>
          <w:rStyle w:val="Teksttreci"/>
          <w:rFonts w:asciiTheme="minorHAnsi" w:hAnsiTheme="minorHAnsi" w:cstheme="minorHAnsi"/>
        </w:rPr>
        <w:t>Serious</w:t>
      </w:r>
      <w:proofErr w:type="spellEnd"/>
      <w:r w:rsidRPr="00591F8B">
        <w:rPr>
          <w:rStyle w:val="Teksttreci"/>
          <w:rFonts w:asciiTheme="minorHAnsi" w:hAnsiTheme="minorHAnsi" w:cstheme="minorHAnsi"/>
        </w:rPr>
        <w:t xml:space="preserve"> </w:t>
      </w:r>
      <w:proofErr w:type="spellStart"/>
      <w:r w:rsidRPr="00591F8B">
        <w:rPr>
          <w:rStyle w:val="Teksttreci"/>
          <w:rFonts w:asciiTheme="minorHAnsi" w:hAnsiTheme="minorHAnsi" w:cstheme="minorHAnsi"/>
        </w:rPr>
        <w:t>Adverse</w:t>
      </w:r>
      <w:proofErr w:type="spellEnd"/>
      <w:r w:rsidRPr="00591F8B">
        <w:rPr>
          <w:rStyle w:val="Teksttreci"/>
          <w:rFonts w:asciiTheme="minorHAnsi" w:hAnsiTheme="minorHAnsi" w:cstheme="minorHAnsi"/>
        </w:rPr>
        <w:t xml:space="preserve"> Event Report Form (SAE </w:t>
      </w:r>
      <w:r w:rsidR="007F5AD8" w:rsidRPr="00591F8B">
        <w:rPr>
          <w:rStyle w:val="Teksttreci"/>
          <w:rFonts w:asciiTheme="minorHAnsi" w:hAnsiTheme="minorHAnsi" w:cstheme="minorHAnsi"/>
        </w:rPr>
        <w:t>Report) -</w:t>
      </w:r>
      <w:r w:rsidRPr="00591F8B">
        <w:rPr>
          <w:rStyle w:val="Teksttreci"/>
          <w:rFonts w:asciiTheme="minorHAnsi" w:hAnsiTheme="minorHAnsi" w:cstheme="minorHAnsi"/>
        </w:rPr>
        <w:t xml:space="preserve"> Formularz CIOM </w:t>
      </w:r>
      <w:r w:rsidR="007C4E88" w:rsidRPr="00591F8B">
        <w:rPr>
          <w:rStyle w:val="Teksttreci"/>
          <w:rFonts w:asciiTheme="minorHAnsi" w:hAnsiTheme="minorHAnsi" w:cstheme="minorHAnsi"/>
        </w:rPr>
        <w:t>„Zalacznik_do_Wzoru_</w:t>
      </w:r>
      <w:proofErr w:type="spellStart"/>
      <w:r w:rsidR="007C4E88" w:rsidRPr="00591F8B">
        <w:rPr>
          <w:rStyle w:val="Teksttreci"/>
          <w:rFonts w:asciiTheme="minorHAnsi" w:hAnsiTheme="minorHAnsi" w:cstheme="minorHAnsi"/>
        </w:rPr>
        <w:t>protokolu</w:t>
      </w:r>
      <w:proofErr w:type="spellEnd"/>
      <w:r w:rsidR="007C4E88" w:rsidRPr="00591F8B">
        <w:rPr>
          <w:rStyle w:val="Teksttreci"/>
          <w:rFonts w:asciiTheme="minorHAnsi" w:hAnsiTheme="minorHAnsi" w:cstheme="minorHAnsi"/>
        </w:rPr>
        <w:t>_-_</w:t>
      </w:r>
      <w:proofErr w:type="spellStart"/>
      <w:r w:rsidR="007C4E88" w:rsidRPr="00591F8B">
        <w:rPr>
          <w:rStyle w:val="Teksttreci"/>
          <w:rFonts w:asciiTheme="minorHAnsi" w:hAnsiTheme="minorHAnsi" w:cstheme="minorHAnsi"/>
        </w:rPr>
        <w:t>SAE_form__CIOMS</w:t>
      </w:r>
      <w:proofErr w:type="spellEnd"/>
      <w:r w:rsidR="007C4E88" w:rsidRPr="00591F8B">
        <w:rPr>
          <w:rStyle w:val="Teksttreci"/>
          <w:rFonts w:asciiTheme="minorHAnsi" w:hAnsiTheme="minorHAnsi" w:cstheme="minorHAnsi"/>
        </w:rPr>
        <w:t>”</w:t>
      </w:r>
    </w:p>
    <w:p w14:paraId="3E6EACEB" w14:textId="35560F0E" w:rsidR="00C2079C" w:rsidRPr="00591F8B" w:rsidRDefault="00C2079C" w:rsidP="0033607D">
      <w:pPr>
        <w:pStyle w:val="Teksttreci0"/>
        <w:numPr>
          <w:ilvl w:val="0"/>
          <w:numId w:val="38"/>
        </w:numPr>
        <w:tabs>
          <w:tab w:val="left" w:pos="378"/>
        </w:tabs>
        <w:spacing w:after="520"/>
        <w:jc w:val="both"/>
        <w:rPr>
          <w:rStyle w:val="Teksttreci"/>
          <w:rFonts w:asciiTheme="minorHAnsi" w:hAnsiTheme="minorHAnsi" w:cstheme="minorHAnsi"/>
        </w:rPr>
      </w:pPr>
      <w:r w:rsidRPr="00591F8B">
        <w:rPr>
          <w:rStyle w:val="Teksttreci"/>
          <w:rFonts w:asciiTheme="minorHAnsi" w:hAnsiTheme="minorHAnsi" w:cstheme="minorHAnsi"/>
          <w:b/>
        </w:rPr>
        <w:lastRenderedPageBreak/>
        <w:t>HISTORIA ZMIAN</w:t>
      </w:r>
    </w:p>
    <w:tbl>
      <w:tblPr>
        <w:tblStyle w:val="Tabela-Siatka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693"/>
        <w:gridCol w:w="1696"/>
      </w:tblGrid>
      <w:tr w:rsidR="005C11E9" w:rsidRPr="00591F8B" w14:paraId="0B59C42B" w14:textId="77777777" w:rsidTr="005C11E9">
        <w:trPr>
          <w:trHeight w:val="317"/>
        </w:trPr>
        <w:tc>
          <w:tcPr>
            <w:tcW w:w="9062" w:type="dxa"/>
            <w:gridSpan w:val="5"/>
          </w:tcPr>
          <w:p w14:paraId="1B4D9BAC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b/>
                <w:lang w:bidi="pl-PL"/>
              </w:rPr>
            </w:pPr>
            <w:r w:rsidRPr="00591F8B">
              <w:rPr>
                <w:rFonts w:asciiTheme="minorHAnsi" w:hAnsiTheme="minorHAnsi" w:cstheme="minorHAnsi"/>
                <w:b/>
                <w:lang w:bidi="pl-PL"/>
              </w:rPr>
              <w:t>Historia zmian</w:t>
            </w:r>
          </w:p>
        </w:tc>
      </w:tr>
      <w:tr w:rsidR="005C11E9" w:rsidRPr="00591F8B" w14:paraId="657D7E62" w14:textId="77777777" w:rsidTr="005C11E9">
        <w:trPr>
          <w:trHeight w:val="284"/>
        </w:trPr>
        <w:tc>
          <w:tcPr>
            <w:tcW w:w="1555" w:type="dxa"/>
          </w:tcPr>
          <w:p w14:paraId="0DC75F52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b/>
                <w:lang w:bidi="pl-PL"/>
              </w:rPr>
            </w:pPr>
            <w:r w:rsidRPr="00591F8B">
              <w:rPr>
                <w:rFonts w:asciiTheme="minorHAnsi" w:hAnsiTheme="minorHAnsi" w:cstheme="minorHAnsi"/>
                <w:b/>
                <w:lang w:bidi="pl-PL"/>
              </w:rPr>
              <w:t>Numer wersji</w:t>
            </w:r>
          </w:p>
        </w:tc>
        <w:tc>
          <w:tcPr>
            <w:tcW w:w="1559" w:type="dxa"/>
          </w:tcPr>
          <w:p w14:paraId="34A07B05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b/>
                <w:lang w:bidi="pl-PL"/>
              </w:rPr>
            </w:pPr>
            <w:r w:rsidRPr="00591F8B">
              <w:rPr>
                <w:rFonts w:asciiTheme="minorHAnsi" w:hAnsiTheme="minorHAnsi" w:cstheme="minorHAnsi"/>
                <w:b/>
                <w:lang w:bidi="pl-PL"/>
              </w:rPr>
              <w:t>Autor zmiany</w:t>
            </w:r>
          </w:p>
        </w:tc>
        <w:tc>
          <w:tcPr>
            <w:tcW w:w="1559" w:type="dxa"/>
          </w:tcPr>
          <w:p w14:paraId="0B9C4B6E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b/>
                <w:lang w:bidi="pl-PL"/>
              </w:rPr>
            </w:pPr>
            <w:r w:rsidRPr="00591F8B">
              <w:rPr>
                <w:rFonts w:asciiTheme="minorHAnsi" w:hAnsiTheme="minorHAnsi" w:cstheme="minorHAnsi"/>
                <w:b/>
                <w:lang w:bidi="pl-PL"/>
              </w:rPr>
              <w:t>Data wejścia w życie</w:t>
            </w:r>
          </w:p>
        </w:tc>
        <w:tc>
          <w:tcPr>
            <w:tcW w:w="2693" w:type="dxa"/>
          </w:tcPr>
          <w:p w14:paraId="060681EC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b/>
                <w:lang w:bidi="pl-PL"/>
              </w:rPr>
            </w:pPr>
            <w:r w:rsidRPr="00591F8B">
              <w:rPr>
                <w:rFonts w:asciiTheme="minorHAnsi" w:hAnsiTheme="minorHAnsi" w:cstheme="minorHAnsi"/>
                <w:b/>
                <w:lang w:bidi="pl-PL"/>
              </w:rPr>
              <w:t>Zakres zmian</w:t>
            </w:r>
          </w:p>
        </w:tc>
        <w:tc>
          <w:tcPr>
            <w:tcW w:w="1696" w:type="dxa"/>
          </w:tcPr>
          <w:p w14:paraId="42B2EEBC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b/>
                <w:lang w:bidi="pl-PL"/>
              </w:rPr>
            </w:pPr>
            <w:r w:rsidRPr="00591F8B">
              <w:rPr>
                <w:rFonts w:asciiTheme="minorHAnsi" w:hAnsiTheme="minorHAnsi" w:cstheme="minorHAnsi"/>
                <w:b/>
                <w:lang w:bidi="pl-PL"/>
              </w:rPr>
              <w:t>Osoba zatwierdzająca zmianę</w:t>
            </w:r>
          </w:p>
        </w:tc>
      </w:tr>
      <w:tr w:rsidR="005C11E9" w:rsidRPr="00591F8B" w14:paraId="588E1C4C" w14:textId="77777777" w:rsidTr="005C11E9">
        <w:tc>
          <w:tcPr>
            <w:tcW w:w="1555" w:type="dxa"/>
          </w:tcPr>
          <w:p w14:paraId="1A665882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559" w:type="dxa"/>
          </w:tcPr>
          <w:p w14:paraId="635E4413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559" w:type="dxa"/>
          </w:tcPr>
          <w:p w14:paraId="3266665E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2693" w:type="dxa"/>
          </w:tcPr>
          <w:p w14:paraId="1D71F958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lang w:bidi="pl-PL"/>
              </w:rPr>
            </w:pPr>
          </w:p>
        </w:tc>
        <w:tc>
          <w:tcPr>
            <w:tcW w:w="1696" w:type="dxa"/>
          </w:tcPr>
          <w:p w14:paraId="38776C9A" w14:textId="77777777" w:rsidR="005C11E9" w:rsidRPr="00591F8B" w:rsidRDefault="005C11E9" w:rsidP="0033607D">
            <w:pPr>
              <w:pStyle w:val="Teksttreci0"/>
              <w:spacing w:line="276" w:lineRule="auto"/>
              <w:jc w:val="both"/>
              <w:rPr>
                <w:rFonts w:asciiTheme="minorHAnsi" w:hAnsiTheme="minorHAnsi" w:cstheme="minorHAnsi"/>
                <w:lang w:bidi="pl-PL"/>
              </w:rPr>
            </w:pPr>
          </w:p>
        </w:tc>
      </w:tr>
    </w:tbl>
    <w:p w14:paraId="2B1FDE96" w14:textId="2985FFF3" w:rsidR="00CD6D02" w:rsidRPr="00591F8B" w:rsidRDefault="00CD6D02" w:rsidP="0033607D">
      <w:pPr>
        <w:jc w:val="both"/>
        <w:rPr>
          <w:i/>
          <w:iCs/>
        </w:rPr>
      </w:pPr>
    </w:p>
    <w:sectPr w:rsidR="00CD6D02" w:rsidRPr="00591F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AA84" w14:textId="77777777" w:rsidR="00953892" w:rsidRDefault="00953892" w:rsidP="00892C34">
      <w:pPr>
        <w:spacing w:after="0" w:line="240" w:lineRule="auto"/>
      </w:pPr>
      <w:r>
        <w:separator/>
      </w:r>
    </w:p>
  </w:endnote>
  <w:endnote w:type="continuationSeparator" w:id="0">
    <w:p w14:paraId="1C92143C" w14:textId="77777777" w:rsidR="00953892" w:rsidRDefault="00953892" w:rsidP="0089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topia Std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E79D" w14:textId="77777777" w:rsidR="008F490A" w:rsidRDefault="008F490A" w:rsidP="008F490A">
    <w:pPr>
      <w:pStyle w:val="Nagwek"/>
    </w:pPr>
    <w:r>
      <w:t>Nazwa CWBK</w:t>
    </w:r>
    <w:r w:rsidRPr="008C3B15">
      <w:t>: [wstawić]</w:t>
    </w:r>
  </w:p>
  <w:p w14:paraId="3D6E4FBC" w14:textId="787126CE" w:rsidR="00892C34" w:rsidRDefault="008F490A">
    <w:pPr>
      <w:pStyle w:val="Stopka"/>
    </w:pPr>
    <w:r>
      <w:t xml:space="preserve">Nazwa komórki </w:t>
    </w:r>
    <w:r w:rsidRPr="008C3B15">
      <w:t>organizacyjnej: [wstawić]</w:t>
    </w:r>
    <w:r w:rsidR="00892C34">
      <w:br/>
    </w:r>
  </w:p>
  <w:p w14:paraId="4BF5BFE1" w14:textId="77777777" w:rsidR="00892C34" w:rsidRDefault="00892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F5F54" w14:textId="77777777" w:rsidR="00953892" w:rsidRDefault="00953892" w:rsidP="00892C34">
      <w:pPr>
        <w:spacing w:after="0" w:line="240" w:lineRule="auto"/>
      </w:pPr>
      <w:r>
        <w:separator/>
      </w:r>
    </w:p>
  </w:footnote>
  <w:footnote w:type="continuationSeparator" w:id="0">
    <w:p w14:paraId="43E7FAE6" w14:textId="77777777" w:rsidR="00953892" w:rsidRDefault="00953892" w:rsidP="00892C34">
      <w:pPr>
        <w:spacing w:after="0" w:line="240" w:lineRule="auto"/>
      </w:pPr>
      <w:r>
        <w:continuationSeparator/>
      </w:r>
    </w:p>
  </w:footnote>
  <w:footnote w:id="1">
    <w:p w14:paraId="0CF24D34" w14:textId="77777777" w:rsidR="00D70A7E" w:rsidRPr="00076FDA" w:rsidRDefault="00D70A7E" w:rsidP="00D70A7E">
      <w:pPr>
        <w:pStyle w:val="Tekstprzypisudolnego"/>
      </w:pPr>
      <w:r>
        <w:rPr>
          <w:rStyle w:val="Odwoanieprzypisudolnego"/>
        </w:rPr>
        <w:footnoteRef/>
      </w:r>
      <w:r w:rsidRPr="00076FDA">
        <w:t xml:space="preserve"> </w:t>
      </w:r>
      <w:r>
        <w:t>Definicja zaczerpnięta z: Zharmonizowane zasady ICH - Z</w:t>
      </w:r>
      <w:r w:rsidRPr="00BC736A">
        <w:t>i</w:t>
      </w:r>
      <w:r>
        <w:t>ntegrowany dodatek do wersji ICH E6(R</w:t>
      </w:r>
      <w:r w:rsidRPr="00BC736A">
        <w:t>1):</w:t>
      </w:r>
      <w:r>
        <w:t xml:space="preserve"> Zasady Dobrej Praktyki K</w:t>
      </w:r>
      <w:r w:rsidRPr="00BC736A">
        <w:t>linicznej</w:t>
      </w:r>
      <w:r>
        <w:t xml:space="preserve"> </w:t>
      </w:r>
      <w:r w:rsidRPr="00B43E4C">
        <w:t>E6(R2)</w:t>
      </w:r>
      <w:r>
        <w:t xml:space="preserve">, w: </w:t>
      </w:r>
      <w:r w:rsidRPr="00BC736A">
        <w:t>MIĘDZYNARODOWA RADA HARMONIZACJI WYMAGAŃ TECHNICZNYCH DLA REJESTRACJI PRODUKTÓW LECZNICZYCH STOSOWANYCH U LUDZI (ICH)</w:t>
      </w:r>
    </w:p>
  </w:footnote>
  <w:footnote w:id="2">
    <w:p w14:paraId="75AE091A" w14:textId="77777777" w:rsidR="0063685F" w:rsidRPr="00CA7AB4" w:rsidRDefault="0063685F" w:rsidP="0063685F">
      <w:pPr>
        <w:pStyle w:val="Tekstprzypisudolnego"/>
      </w:pPr>
      <w:r>
        <w:rPr>
          <w:rStyle w:val="Odwoanieprzypisudolnego"/>
        </w:rPr>
        <w:footnoteRef/>
      </w:r>
      <w:r w:rsidRPr="00CA7AB4">
        <w:t xml:space="preserve"> </w:t>
      </w:r>
      <w:r>
        <w:t>Definicja zaczerpnięta z: Zharmonizowane zasady ICH - Z</w:t>
      </w:r>
      <w:r w:rsidRPr="00BC736A">
        <w:t>i</w:t>
      </w:r>
      <w:r>
        <w:t>ntegrowany dodatek do wersji ICH E6(R</w:t>
      </w:r>
      <w:r w:rsidRPr="00BC736A">
        <w:t>1):</w:t>
      </w:r>
      <w:r>
        <w:t xml:space="preserve"> Zasady Dobrej Praktyki K</w:t>
      </w:r>
      <w:r w:rsidRPr="00BC736A">
        <w:t>linicznej</w:t>
      </w:r>
      <w:r>
        <w:t xml:space="preserve"> </w:t>
      </w:r>
      <w:r w:rsidRPr="00B43E4C">
        <w:t>E6(R2)</w:t>
      </w:r>
      <w:r>
        <w:t xml:space="preserve">, w: </w:t>
      </w:r>
      <w:r w:rsidRPr="00BC736A">
        <w:t>MIĘDZYNARODOWA RADA HARMONIZACJI WYMAGAŃ TECHNICZNYCH DLA REJESTRACJI PRODUKTÓW LECZNICZYCH STOSOWANYCH U LUDZI (ICH)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EC25" w14:textId="3096BD92" w:rsidR="00892C34" w:rsidRDefault="004B73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A2CF0D" wp14:editId="76410D5A">
          <wp:simplePos x="0" y="0"/>
          <wp:positionH relativeFrom="column">
            <wp:posOffset>4976495</wp:posOffset>
          </wp:positionH>
          <wp:positionV relativeFrom="paragraph">
            <wp:posOffset>30480</wp:posOffset>
          </wp:positionV>
          <wp:extent cx="1547265" cy="510540"/>
          <wp:effectExtent l="0" t="0" r="0" b="3810"/>
          <wp:wrapNone/>
          <wp:docPr id="2114489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26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highlight w:val="yellow"/>
      </w:rPr>
      <w:drawing>
        <wp:anchor distT="0" distB="0" distL="114300" distR="114300" simplePos="0" relativeHeight="251658240" behindDoc="0" locked="0" layoutInCell="1" allowOverlap="1" wp14:anchorId="27BB65FD" wp14:editId="04E08795">
          <wp:simplePos x="0" y="0"/>
          <wp:positionH relativeFrom="column">
            <wp:posOffset>3397885</wp:posOffset>
          </wp:positionH>
          <wp:positionV relativeFrom="paragraph">
            <wp:posOffset>-182880</wp:posOffset>
          </wp:positionV>
          <wp:extent cx="1603375" cy="853440"/>
          <wp:effectExtent l="0" t="0" r="0" b="3810"/>
          <wp:wrapNone/>
          <wp:docPr id="334953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C34">
      <w:t xml:space="preserve">SOP: </w:t>
    </w:r>
    <w:r w:rsidR="00D70A7E" w:rsidRPr="00D70A7E">
      <w:t>P</w:t>
    </w:r>
    <w:r w:rsidR="00D70A7E">
      <w:t>rocedura</w:t>
    </w:r>
    <w:r w:rsidR="00D70A7E" w:rsidRPr="00D70A7E">
      <w:t xml:space="preserve"> P</w:t>
    </w:r>
    <w:r w:rsidR="00D70A7E">
      <w:t>ostępowania</w:t>
    </w:r>
    <w:r w:rsidR="00D70A7E" w:rsidRPr="00D70A7E">
      <w:t xml:space="preserve"> </w:t>
    </w:r>
    <w:r w:rsidR="00D70A7E">
      <w:t>w</w:t>
    </w:r>
    <w:r w:rsidR="00D70A7E" w:rsidRPr="00D70A7E">
      <w:t xml:space="preserve"> </w:t>
    </w:r>
    <w:r w:rsidR="00D70A7E">
      <w:t>przypadku wystąpienia</w:t>
    </w:r>
    <w:r w:rsidR="00D70A7E" w:rsidRPr="00D70A7E">
      <w:t xml:space="preserve"> </w:t>
    </w:r>
    <w:r w:rsidR="000A1C0D">
      <w:br/>
    </w:r>
    <w:r w:rsidR="00D70A7E">
      <w:t>zdarzenia niepożądanego</w:t>
    </w:r>
    <w:r w:rsidR="001B3DB9">
      <w:t xml:space="preserve"> </w:t>
    </w:r>
    <w:r w:rsidR="001B3DB9" w:rsidRPr="001B3DB9">
      <w:rPr>
        <w:rFonts w:eastAsia="Arial" w:cstheme="minorHAnsi"/>
      </w:rPr>
      <w:t>–</w:t>
    </w:r>
    <w:r w:rsidR="00D70A7E" w:rsidRPr="00D70A7E">
      <w:t xml:space="preserve"> </w:t>
    </w:r>
    <w:proofErr w:type="spellStart"/>
    <w:r w:rsidR="00D70A7E" w:rsidRPr="00D70A7E">
      <w:t>A</w:t>
    </w:r>
    <w:r w:rsidR="00D70A7E">
      <w:t>dverse</w:t>
    </w:r>
    <w:proofErr w:type="spellEnd"/>
    <w:r w:rsidR="00D70A7E" w:rsidRPr="00D70A7E">
      <w:t xml:space="preserve"> E</w:t>
    </w:r>
    <w:r w:rsidR="00D70A7E">
      <w:t>vent</w:t>
    </w:r>
    <w:r w:rsidR="00D70A7E" w:rsidRPr="00D70A7E">
      <w:t xml:space="preserve"> M</w:t>
    </w:r>
    <w:r w:rsidR="00D70A7E">
      <w:t>anagement</w:t>
    </w:r>
  </w:p>
  <w:p w14:paraId="3C21D9BB" w14:textId="7C5A5CD9" w:rsidR="008F490A" w:rsidRDefault="008F490A">
    <w:pPr>
      <w:pStyle w:val="Nagwek"/>
    </w:pPr>
    <w:r>
      <w:t xml:space="preserve">Numer </w:t>
    </w:r>
    <w:r w:rsidRPr="008C3B15">
      <w:t>SOP: [wstawić]</w:t>
    </w:r>
  </w:p>
  <w:p w14:paraId="12407EB1" w14:textId="31055DE8" w:rsidR="00C2079C" w:rsidRDefault="00C2079C">
    <w:pPr>
      <w:pStyle w:val="Nagwek"/>
    </w:pPr>
    <w:r>
      <w:t xml:space="preserve">Numer wersji: </w:t>
    </w:r>
    <w:r w:rsidR="00D70A7E">
      <w:t>1.0</w:t>
    </w:r>
  </w:p>
  <w:p w14:paraId="39CA9414" w14:textId="1ADE1CE7" w:rsidR="00C2079C" w:rsidRDefault="00C2079C">
    <w:pPr>
      <w:pStyle w:val="Nagwek"/>
    </w:pPr>
    <w:r>
      <w:t xml:space="preserve">Data </w:t>
    </w:r>
    <w:r w:rsidRPr="008C3B15">
      <w:t>obowiązywania: [wstawić]</w:t>
    </w:r>
  </w:p>
  <w:p w14:paraId="5CEE4C23" w14:textId="77777777" w:rsidR="00892C34" w:rsidRDefault="0089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572"/>
    <w:multiLevelType w:val="hybridMultilevel"/>
    <w:tmpl w:val="75D87FB8"/>
    <w:lvl w:ilvl="0" w:tplc="666C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ABB"/>
    <w:multiLevelType w:val="hybridMultilevel"/>
    <w:tmpl w:val="EA8A6068"/>
    <w:lvl w:ilvl="0" w:tplc="666CA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A618B"/>
    <w:multiLevelType w:val="hybridMultilevel"/>
    <w:tmpl w:val="9A90F332"/>
    <w:lvl w:ilvl="0" w:tplc="666CAC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C63FD"/>
    <w:multiLevelType w:val="hybridMultilevel"/>
    <w:tmpl w:val="6C14A92E"/>
    <w:lvl w:ilvl="0" w:tplc="666CA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57FC9"/>
    <w:multiLevelType w:val="hybridMultilevel"/>
    <w:tmpl w:val="A920D1B2"/>
    <w:lvl w:ilvl="0" w:tplc="1CEC0EDE">
      <w:start w:val="1"/>
      <w:numFmt w:val="bullet"/>
      <w:pStyle w:val="ProceduraTekst"/>
      <w:lvlText w:val=""/>
      <w:lvlJc w:val="left"/>
      <w:pPr>
        <w:tabs>
          <w:tab w:val="num" w:pos="-682"/>
        </w:tabs>
        <w:ind w:left="-738" w:hanging="284"/>
      </w:pPr>
      <w:rPr>
        <w:rFonts w:ascii="Wingdings" w:hAnsi="Wingdings" w:hint="default"/>
        <w:color w:val="auto"/>
        <w:sz w:val="22"/>
        <w:szCs w:val="22"/>
      </w:rPr>
    </w:lvl>
    <w:lvl w:ilvl="1" w:tplc="4F8E7684">
      <w:start w:val="1"/>
      <w:numFmt w:val="decimal"/>
      <w:lvlText w:val="%2."/>
      <w:lvlJc w:val="left"/>
      <w:pPr>
        <w:tabs>
          <w:tab w:val="num" w:pos="78"/>
        </w:tabs>
        <w:ind w:left="78" w:hanging="360"/>
      </w:pPr>
      <w:rPr>
        <w:rFonts w:hint="default"/>
        <w:b w:val="0"/>
        <w:color w:val="auto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5" w15:restartNumberingAfterBreak="0">
    <w:nsid w:val="15075754"/>
    <w:multiLevelType w:val="hybridMultilevel"/>
    <w:tmpl w:val="18CCC624"/>
    <w:lvl w:ilvl="0" w:tplc="666CAC9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1A600995"/>
    <w:multiLevelType w:val="multilevel"/>
    <w:tmpl w:val="E45425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000C3A"/>
    <w:multiLevelType w:val="multilevel"/>
    <w:tmpl w:val="E3C21B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81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asciiTheme="minorHAnsi" w:hAnsiTheme="minorHAnsi" w:cstheme="minorHAnsi" w:hint="default"/>
        <w:i w:val="0"/>
        <w:iCs/>
        <w:sz w:val="24"/>
        <w:szCs w:val="28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1B751389"/>
    <w:multiLevelType w:val="multilevel"/>
    <w:tmpl w:val="5FE65C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Theme="minorHAnsi" w:hAnsiTheme="minorHAnsi" w:cstheme="minorHAnsi"/>
        <w:b w:val="0"/>
        <w:strike w:val="0"/>
        <w:dstrike w:val="0"/>
        <w:color w:val="auto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asciiTheme="minorHAnsi" w:hAnsiTheme="minorHAnsi" w:cstheme="minorHAnsi"/>
        <w:b w:val="0"/>
        <w:bCs w:val="0"/>
        <w:i w:val="0"/>
        <w:iCs/>
        <w:color w:val="auto"/>
        <w:sz w:val="24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color w:val="auto"/>
      </w:rPr>
    </w:lvl>
  </w:abstractNum>
  <w:abstractNum w:abstractNumId="9" w15:restartNumberingAfterBreak="0">
    <w:nsid w:val="1DFD3712"/>
    <w:multiLevelType w:val="multilevel"/>
    <w:tmpl w:val="D6D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E076E"/>
    <w:multiLevelType w:val="multilevel"/>
    <w:tmpl w:val="5A4EB9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204D6B42"/>
    <w:multiLevelType w:val="hybridMultilevel"/>
    <w:tmpl w:val="0E6E124A"/>
    <w:lvl w:ilvl="0" w:tplc="CAFEF9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1E7D"/>
    <w:multiLevelType w:val="multilevel"/>
    <w:tmpl w:val="6E6A3FAA"/>
    <w:lvl w:ilvl="0">
      <w:start w:val="6"/>
      <w:numFmt w:val="decimal"/>
      <w:lvlText w:val="%1."/>
      <w:lvlJc w:val="left"/>
      <w:pPr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7D39F2"/>
    <w:multiLevelType w:val="hybridMultilevel"/>
    <w:tmpl w:val="F0C668AC"/>
    <w:lvl w:ilvl="0" w:tplc="F600F1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D350B"/>
    <w:multiLevelType w:val="hybridMultilevel"/>
    <w:tmpl w:val="4FB0AAEA"/>
    <w:lvl w:ilvl="0" w:tplc="666CAC9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272C0E96"/>
    <w:multiLevelType w:val="hybridMultilevel"/>
    <w:tmpl w:val="9E66441E"/>
    <w:lvl w:ilvl="0" w:tplc="6B6C6A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7FBC"/>
    <w:multiLevelType w:val="multilevel"/>
    <w:tmpl w:val="FE9669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AD63B8"/>
    <w:multiLevelType w:val="multilevel"/>
    <w:tmpl w:val="ADBA34E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4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8" w15:restartNumberingAfterBreak="0">
    <w:nsid w:val="376C787D"/>
    <w:multiLevelType w:val="multilevel"/>
    <w:tmpl w:val="F526606E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664562"/>
    <w:multiLevelType w:val="multilevel"/>
    <w:tmpl w:val="5A4EB9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0" w15:restartNumberingAfterBreak="0">
    <w:nsid w:val="3D9F475F"/>
    <w:multiLevelType w:val="hybridMultilevel"/>
    <w:tmpl w:val="A6C07D88"/>
    <w:lvl w:ilvl="0" w:tplc="666CA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E00573"/>
    <w:multiLevelType w:val="multilevel"/>
    <w:tmpl w:val="8EA26B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22" w15:restartNumberingAfterBreak="0">
    <w:nsid w:val="4775182E"/>
    <w:multiLevelType w:val="multilevel"/>
    <w:tmpl w:val="5A4EB9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48551DE8"/>
    <w:multiLevelType w:val="multilevel"/>
    <w:tmpl w:val="8EA26B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24" w15:restartNumberingAfterBreak="0">
    <w:nsid w:val="486C1CF3"/>
    <w:multiLevelType w:val="hybridMultilevel"/>
    <w:tmpl w:val="8B78FAA0"/>
    <w:lvl w:ilvl="0" w:tplc="666C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C1FBE"/>
    <w:multiLevelType w:val="multilevel"/>
    <w:tmpl w:val="9BC6A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9F21E11"/>
    <w:multiLevelType w:val="multilevel"/>
    <w:tmpl w:val="4C20E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18384B"/>
    <w:multiLevelType w:val="multilevel"/>
    <w:tmpl w:val="A48AD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0A0CA5"/>
    <w:multiLevelType w:val="multilevel"/>
    <w:tmpl w:val="F526606E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CC55CBB"/>
    <w:multiLevelType w:val="multilevel"/>
    <w:tmpl w:val="FE9669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624AB3"/>
    <w:multiLevelType w:val="multilevel"/>
    <w:tmpl w:val="E45425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B73B16"/>
    <w:multiLevelType w:val="hybridMultilevel"/>
    <w:tmpl w:val="E6EA36BA"/>
    <w:lvl w:ilvl="0" w:tplc="CAFEF9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4FF7"/>
    <w:multiLevelType w:val="hybridMultilevel"/>
    <w:tmpl w:val="08843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C8044F"/>
    <w:multiLevelType w:val="multilevel"/>
    <w:tmpl w:val="0A863B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582F4933"/>
    <w:multiLevelType w:val="multilevel"/>
    <w:tmpl w:val="CA12BC7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83A7551"/>
    <w:multiLevelType w:val="multilevel"/>
    <w:tmpl w:val="5A4EB9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5F423B61"/>
    <w:multiLevelType w:val="hybridMultilevel"/>
    <w:tmpl w:val="77D480AA"/>
    <w:lvl w:ilvl="0" w:tplc="666C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93DFE"/>
    <w:multiLevelType w:val="multilevel"/>
    <w:tmpl w:val="DB9A4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65A0009F"/>
    <w:multiLevelType w:val="multilevel"/>
    <w:tmpl w:val="15468F8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30"/>
        </w:tabs>
        <w:ind w:left="2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46"/>
        </w:tabs>
        <w:ind w:left="30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39" w15:restartNumberingAfterBreak="0">
    <w:nsid w:val="672C62DD"/>
    <w:multiLevelType w:val="multilevel"/>
    <w:tmpl w:val="108E5E1A"/>
    <w:lvl w:ilvl="0">
      <w:start w:val="5"/>
      <w:numFmt w:val="none"/>
      <w:lvlText w:val="5.5.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40" w15:restartNumberingAfterBreak="0">
    <w:nsid w:val="6BD62C65"/>
    <w:multiLevelType w:val="multilevel"/>
    <w:tmpl w:val="A2E0E2BA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 w15:restartNumberingAfterBreak="0">
    <w:nsid w:val="6DAF1052"/>
    <w:multiLevelType w:val="hybridMultilevel"/>
    <w:tmpl w:val="8AF0AB54"/>
    <w:lvl w:ilvl="0" w:tplc="CAFEF9B8">
      <w:start w:val="1"/>
      <w:numFmt w:val="decimal"/>
      <w:lvlText w:val="%1.1.1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1FD3B05"/>
    <w:multiLevelType w:val="multilevel"/>
    <w:tmpl w:val="E87C8C0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3" w15:restartNumberingAfterBreak="0">
    <w:nsid w:val="768238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7691743">
    <w:abstractNumId w:val="34"/>
  </w:num>
  <w:num w:numId="2" w16cid:durableId="158350822">
    <w:abstractNumId w:val="32"/>
  </w:num>
  <w:num w:numId="3" w16cid:durableId="2067489382">
    <w:abstractNumId w:val="32"/>
  </w:num>
  <w:num w:numId="4" w16cid:durableId="1526018617">
    <w:abstractNumId w:val="4"/>
  </w:num>
  <w:num w:numId="5" w16cid:durableId="272591141">
    <w:abstractNumId w:val="3"/>
  </w:num>
  <w:num w:numId="6" w16cid:durableId="1098870432">
    <w:abstractNumId w:val="20"/>
  </w:num>
  <w:num w:numId="7" w16cid:durableId="586114715">
    <w:abstractNumId w:val="27"/>
  </w:num>
  <w:num w:numId="8" w16cid:durableId="2020809288">
    <w:abstractNumId w:val="16"/>
  </w:num>
  <w:num w:numId="9" w16cid:durableId="643894702">
    <w:abstractNumId w:val="38"/>
  </w:num>
  <w:num w:numId="10" w16cid:durableId="177546983">
    <w:abstractNumId w:val="2"/>
  </w:num>
  <w:num w:numId="11" w16cid:durableId="424692228">
    <w:abstractNumId w:val="17"/>
  </w:num>
  <w:num w:numId="12" w16cid:durableId="1885168505">
    <w:abstractNumId w:val="9"/>
  </w:num>
  <w:num w:numId="13" w16cid:durableId="1228957181">
    <w:abstractNumId w:val="23"/>
  </w:num>
  <w:num w:numId="14" w16cid:durableId="1565335758">
    <w:abstractNumId w:val="37"/>
  </w:num>
  <w:num w:numId="15" w16cid:durableId="1215047475">
    <w:abstractNumId w:val="39"/>
  </w:num>
  <w:num w:numId="16" w16cid:durableId="390276316">
    <w:abstractNumId w:val="42"/>
  </w:num>
  <w:num w:numId="17" w16cid:durableId="1520312138">
    <w:abstractNumId w:val="40"/>
  </w:num>
  <w:num w:numId="18" w16cid:durableId="1360358171">
    <w:abstractNumId w:val="21"/>
  </w:num>
  <w:num w:numId="19" w16cid:durableId="420025063">
    <w:abstractNumId w:val="12"/>
  </w:num>
  <w:num w:numId="20" w16cid:durableId="1350066408">
    <w:abstractNumId w:val="43"/>
  </w:num>
  <w:num w:numId="21" w16cid:durableId="2121533345">
    <w:abstractNumId w:val="29"/>
  </w:num>
  <w:num w:numId="22" w16cid:durableId="922373648">
    <w:abstractNumId w:val="1"/>
  </w:num>
  <w:num w:numId="23" w16cid:durableId="1085105724">
    <w:abstractNumId w:val="36"/>
  </w:num>
  <w:num w:numId="24" w16cid:durableId="1324771351">
    <w:abstractNumId w:val="5"/>
  </w:num>
  <w:num w:numId="25" w16cid:durableId="577324387">
    <w:abstractNumId w:val="14"/>
  </w:num>
  <w:num w:numId="26" w16cid:durableId="559874669">
    <w:abstractNumId w:val="24"/>
  </w:num>
  <w:num w:numId="27" w16cid:durableId="1926181098">
    <w:abstractNumId w:val="25"/>
  </w:num>
  <w:num w:numId="28" w16cid:durableId="875848641">
    <w:abstractNumId w:val="15"/>
  </w:num>
  <w:num w:numId="29" w16cid:durableId="1491411703">
    <w:abstractNumId w:val="10"/>
  </w:num>
  <w:num w:numId="30" w16cid:durableId="1976254124">
    <w:abstractNumId w:val="6"/>
  </w:num>
  <w:num w:numId="31" w16cid:durableId="1291663832">
    <w:abstractNumId w:val="30"/>
  </w:num>
  <w:num w:numId="32" w16cid:durableId="1297879265">
    <w:abstractNumId w:val="28"/>
  </w:num>
  <w:num w:numId="33" w16cid:durableId="1382095715">
    <w:abstractNumId w:val="35"/>
  </w:num>
  <w:num w:numId="34" w16cid:durableId="464354187">
    <w:abstractNumId w:val="22"/>
  </w:num>
  <w:num w:numId="35" w16cid:durableId="1542858322">
    <w:abstractNumId w:val="31"/>
  </w:num>
  <w:num w:numId="36" w16cid:durableId="581372385">
    <w:abstractNumId w:val="11"/>
  </w:num>
  <w:num w:numId="37" w16cid:durableId="688606144">
    <w:abstractNumId w:val="19"/>
  </w:num>
  <w:num w:numId="38" w16cid:durableId="1759672089">
    <w:abstractNumId w:val="7"/>
  </w:num>
  <w:num w:numId="39" w16cid:durableId="1331905947">
    <w:abstractNumId w:val="8"/>
  </w:num>
  <w:num w:numId="40" w16cid:durableId="1845894495">
    <w:abstractNumId w:val="41"/>
  </w:num>
  <w:num w:numId="41" w16cid:durableId="71661735">
    <w:abstractNumId w:val="26"/>
  </w:num>
  <w:num w:numId="42" w16cid:durableId="1815945438">
    <w:abstractNumId w:val="33"/>
  </w:num>
  <w:num w:numId="43" w16cid:durableId="1696807185">
    <w:abstractNumId w:val="0"/>
  </w:num>
  <w:num w:numId="44" w16cid:durableId="572543391">
    <w:abstractNumId w:val="18"/>
  </w:num>
  <w:num w:numId="45" w16cid:durableId="821702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34"/>
    <w:rsid w:val="000102CC"/>
    <w:rsid w:val="00017D78"/>
    <w:rsid w:val="0003180C"/>
    <w:rsid w:val="000449AC"/>
    <w:rsid w:val="000517D5"/>
    <w:rsid w:val="000951D2"/>
    <w:rsid w:val="000A1C0D"/>
    <w:rsid w:val="000A4470"/>
    <w:rsid w:val="000B0B06"/>
    <w:rsid w:val="000B1AC8"/>
    <w:rsid w:val="000B44D5"/>
    <w:rsid w:val="000C101D"/>
    <w:rsid w:val="000C182A"/>
    <w:rsid w:val="000F0764"/>
    <w:rsid w:val="000F5BAD"/>
    <w:rsid w:val="00110BC0"/>
    <w:rsid w:val="00144649"/>
    <w:rsid w:val="00162FBB"/>
    <w:rsid w:val="00172FEF"/>
    <w:rsid w:val="0018317A"/>
    <w:rsid w:val="00197A85"/>
    <w:rsid w:val="001B3DB9"/>
    <w:rsid w:val="001E3A67"/>
    <w:rsid w:val="002279C0"/>
    <w:rsid w:val="0025490A"/>
    <w:rsid w:val="002601E8"/>
    <w:rsid w:val="002642B2"/>
    <w:rsid w:val="002753DA"/>
    <w:rsid w:val="002C05C0"/>
    <w:rsid w:val="002C2F4C"/>
    <w:rsid w:val="00320432"/>
    <w:rsid w:val="00327942"/>
    <w:rsid w:val="0033607D"/>
    <w:rsid w:val="00346CEA"/>
    <w:rsid w:val="00366567"/>
    <w:rsid w:val="00395FC3"/>
    <w:rsid w:val="003A7AFC"/>
    <w:rsid w:val="003D4C14"/>
    <w:rsid w:val="003F153D"/>
    <w:rsid w:val="00406AA3"/>
    <w:rsid w:val="00456D40"/>
    <w:rsid w:val="00457263"/>
    <w:rsid w:val="0048251C"/>
    <w:rsid w:val="00496865"/>
    <w:rsid w:val="004B40BA"/>
    <w:rsid w:val="004B738A"/>
    <w:rsid w:val="004E2B26"/>
    <w:rsid w:val="004E4378"/>
    <w:rsid w:val="004E6277"/>
    <w:rsid w:val="004F03D6"/>
    <w:rsid w:val="00527186"/>
    <w:rsid w:val="005312CE"/>
    <w:rsid w:val="005511A4"/>
    <w:rsid w:val="00583095"/>
    <w:rsid w:val="005878A3"/>
    <w:rsid w:val="00591CDA"/>
    <w:rsid w:val="00591F8B"/>
    <w:rsid w:val="00593282"/>
    <w:rsid w:val="005A634A"/>
    <w:rsid w:val="005C11E9"/>
    <w:rsid w:val="005E7108"/>
    <w:rsid w:val="00605E5D"/>
    <w:rsid w:val="0063685F"/>
    <w:rsid w:val="00675ADD"/>
    <w:rsid w:val="00687776"/>
    <w:rsid w:val="006A7235"/>
    <w:rsid w:val="006B4333"/>
    <w:rsid w:val="006C4B39"/>
    <w:rsid w:val="006D434C"/>
    <w:rsid w:val="00707E35"/>
    <w:rsid w:val="00753352"/>
    <w:rsid w:val="00765FE9"/>
    <w:rsid w:val="007754A7"/>
    <w:rsid w:val="00782908"/>
    <w:rsid w:val="007B3449"/>
    <w:rsid w:val="007B5C8B"/>
    <w:rsid w:val="007C4E88"/>
    <w:rsid w:val="007D764F"/>
    <w:rsid w:val="007F5AD8"/>
    <w:rsid w:val="00825D1D"/>
    <w:rsid w:val="008562CD"/>
    <w:rsid w:val="00873FE2"/>
    <w:rsid w:val="00892C34"/>
    <w:rsid w:val="008A04D6"/>
    <w:rsid w:val="008A078F"/>
    <w:rsid w:val="008A0BC3"/>
    <w:rsid w:val="008A58AC"/>
    <w:rsid w:val="008A65EC"/>
    <w:rsid w:val="008C399A"/>
    <w:rsid w:val="008C3B15"/>
    <w:rsid w:val="008F2FAA"/>
    <w:rsid w:val="008F490A"/>
    <w:rsid w:val="00902141"/>
    <w:rsid w:val="00902ADF"/>
    <w:rsid w:val="00953892"/>
    <w:rsid w:val="00996C02"/>
    <w:rsid w:val="009A3D50"/>
    <w:rsid w:val="009B2373"/>
    <w:rsid w:val="009C02A5"/>
    <w:rsid w:val="00A04FE1"/>
    <w:rsid w:val="00A07F7C"/>
    <w:rsid w:val="00A61BD9"/>
    <w:rsid w:val="00A7730D"/>
    <w:rsid w:val="00A87E92"/>
    <w:rsid w:val="00AB1E66"/>
    <w:rsid w:val="00AB3E72"/>
    <w:rsid w:val="00AD1E21"/>
    <w:rsid w:val="00AD428A"/>
    <w:rsid w:val="00B06B9D"/>
    <w:rsid w:val="00B45915"/>
    <w:rsid w:val="00B5502F"/>
    <w:rsid w:val="00B60FF3"/>
    <w:rsid w:val="00B65CC2"/>
    <w:rsid w:val="00B67581"/>
    <w:rsid w:val="00B7328F"/>
    <w:rsid w:val="00B842F7"/>
    <w:rsid w:val="00B96B73"/>
    <w:rsid w:val="00BB1B58"/>
    <w:rsid w:val="00BB5200"/>
    <w:rsid w:val="00BF2013"/>
    <w:rsid w:val="00C002B8"/>
    <w:rsid w:val="00C173EB"/>
    <w:rsid w:val="00C2079C"/>
    <w:rsid w:val="00C220B1"/>
    <w:rsid w:val="00C51E04"/>
    <w:rsid w:val="00C97F91"/>
    <w:rsid w:val="00CC1F68"/>
    <w:rsid w:val="00CD11B4"/>
    <w:rsid w:val="00CD4568"/>
    <w:rsid w:val="00CD6D02"/>
    <w:rsid w:val="00CE4F8E"/>
    <w:rsid w:val="00D05E29"/>
    <w:rsid w:val="00D23291"/>
    <w:rsid w:val="00D56199"/>
    <w:rsid w:val="00D602AB"/>
    <w:rsid w:val="00D673B7"/>
    <w:rsid w:val="00D70A7E"/>
    <w:rsid w:val="00D84B11"/>
    <w:rsid w:val="00DB0BE1"/>
    <w:rsid w:val="00DC174B"/>
    <w:rsid w:val="00DC432E"/>
    <w:rsid w:val="00DE4341"/>
    <w:rsid w:val="00DF416D"/>
    <w:rsid w:val="00DF6C89"/>
    <w:rsid w:val="00E207EE"/>
    <w:rsid w:val="00E326C1"/>
    <w:rsid w:val="00E35F0F"/>
    <w:rsid w:val="00E67153"/>
    <w:rsid w:val="00E83EEC"/>
    <w:rsid w:val="00E92841"/>
    <w:rsid w:val="00E96353"/>
    <w:rsid w:val="00F2754A"/>
    <w:rsid w:val="00F27BC5"/>
    <w:rsid w:val="00F30703"/>
    <w:rsid w:val="00F7340F"/>
    <w:rsid w:val="00FB08C3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40A1"/>
  <w15:chartTrackingRefBased/>
  <w15:docId w15:val="{24DBD5A0-D581-456D-BD62-EF39BCAD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34"/>
  </w:style>
  <w:style w:type="paragraph" w:styleId="Nagwek1">
    <w:name w:val="heading 1"/>
    <w:basedOn w:val="Normalny"/>
    <w:next w:val="Normalny"/>
    <w:link w:val="Nagwek1Znak"/>
    <w:uiPriority w:val="9"/>
    <w:qFormat/>
    <w:rsid w:val="00DC4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1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92C34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92C34"/>
    <w:pPr>
      <w:widowControl w:val="0"/>
      <w:spacing w:after="240" w:line="240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89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C34"/>
  </w:style>
  <w:style w:type="paragraph" w:styleId="Stopka">
    <w:name w:val="footer"/>
    <w:basedOn w:val="Normalny"/>
    <w:link w:val="StopkaZnak"/>
    <w:uiPriority w:val="99"/>
    <w:unhideWhenUsed/>
    <w:rsid w:val="0089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34"/>
  </w:style>
  <w:style w:type="paragraph" w:styleId="Tekstpodstawowy">
    <w:name w:val="Body Text"/>
    <w:basedOn w:val="Normalny"/>
    <w:link w:val="TekstpodstawowyZnak"/>
    <w:uiPriority w:val="1"/>
    <w:unhideWhenUsed/>
    <w:qFormat/>
    <w:rsid w:val="00C97F91"/>
    <w:pPr>
      <w:widowControl w:val="0"/>
      <w:autoSpaceDE w:val="0"/>
      <w:autoSpaceDN w:val="0"/>
      <w:spacing w:after="0" w:line="240" w:lineRule="auto"/>
      <w:ind w:left="120"/>
    </w:pPr>
    <w:rPr>
      <w:rFonts w:ascii="Utopia Std" w:eastAsia="Utopia Std" w:hAnsi="Utopia Std" w:cs="Utopia Std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7F91"/>
    <w:rPr>
      <w:rFonts w:ascii="Utopia Std" w:eastAsia="Utopia Std" w:hAnsi="Utopia Std" w:cs="Utopia Std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0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01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18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A7E"/>
    <w:pPr>
      <w:ind w:left="720"/>
      <w:contextualSpacing/>
    </w:pPr>
  </w:style>
  <w:style w:type="paragraph" w:customStyle="1" w:styleId="ProceduraTekst">
    <w:name w:val="Procedura Tekst"/>
    <w:basedOn w:val="Normalny"/>
    <w:rsid w:val="00D70A7E"/>
    <w:pPr>
      <w:numPr>
        <w:numId w:val="4"/>
      </w:numPr>
      <w:spacing w:before="120" w:after="0" w:line="240" w:lineRule="auto"/>
      <w:ind w:left="738" w:right="170"/>
    </w:pPr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A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A7E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semiHidden/>
    <w:rsid w:val="00D70A7E"/>
    <w:rPr>
      <w:vertAlign w:val="superscript"/>
    </w:rPr>
  </w:style>
  <w:style w:type="paragraph" w:customStyle="1" w:styleId="pf1">
    <w:name w:val="pf1"/>
    <w:basedOn w:val="Normalny"/>
    <w:rsid w:val="0063685F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63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3685F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21">
    <w:name w:val="cf21"/>
    <w:basedOn w:val="Domylnaczcionkaakapitu"/>
    <w:rsid w:val="0063685F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B60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58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6C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91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5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5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l@urp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m.gov.pl/download/1/7002/ZalacznikdoWzoruprotokolu-SAEformCIOM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2937-7AA5-4B0C-B4A3-0EA27ADB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4131</Words>
  <Characters>24788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Jabłońska</dc:creator>
  <cp:keywords/>
  <dc:description/>
  <cp:lastModifiedBy>Milena Ławrów</cp:lastModifiedBy>
  <cp:revision>5</cp:revision>
  <dcterms:created xsi:type="dcterms:W3CDTF">2024-05-27T08:22:00Z</dcterms:created>
  <dcterms:modified xsi:type="dcterms:W3CDTF">2024-06-04T07:57:00Z</dcterms:modified>
</cp:coreProperties>
</file>