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00B0D" w14:textId="629EC12A" w:rsidR="00525C62" w:rsidRPr="00105374" w:rsidRDefault="00525C62" w:rsidP="00525C62">
      <w:pPr>
        <w:pStyle w:val="Akapitzlist"/>
        <w:autoSpaceDE w:val="0"/>
        <w:autoSpaceDN w:val="0"/>
        <w:adjustRightInd w:val="0"/>
        <w:spacing w:after="0" w:line="360" w:lineRule="auto"/>
        <w:ind w:left="1080"/>
        <w:jc w:val="right"/>
        <w:rPr>
          <w:rFonts w:ascii="Arial" w:eastAsia="Times New Roman" w:hAnsi="Arial" w:cs="Arial"/>
          <w:b/>
          <w:bCs/>
          <w:i/>
          <w:sz w:val="18"/>
          <w:lang w:eastAsia="pl-PL"/>
        </w:rPr>
      </w:pPr>
      <w:bookmarkStart w:id="0" w:name="_GoBack"/>
      <w:r w:rsidRPr="00105374">
        <w:rPr>
          <w:rFonts w:ascii="Arial" w:eastAsia="Times New Roman" w:hAnsi="Arial" w:cs="Arial"/>
          <w:b/>
          <w:bCs/>
          <w:i/>
          <w:sz w:val="18"/>
          <w:lang w:eastAsia="pl-PL"/>
        </w:rPr>
        <w:t>Załącznik nr 9 do SWZ</w:t>
      </w:r>
    </w:p>
    <w:bookmarkEnd w:id="0"/>
    <w:p w14:paraId="095F303D" w14:textId="77777777" w:rsidR="00525C62" w:rsidRDefault="00525C62" w:rsidP="00525C62">
      <w:pPr>
        <w:jc w:val="center"/>
        <w:rPr>
          <w:rFonts w:ascii="Arial" w:eastAsia="Times New Roman" w:hAnsi="Arial" w:cs="Arial"/>
          <w:b/>
          <w:bCs/>
          <w:lang w:val="en-US" w:eastAsia="pl-PL"/>
        </w:rPr>
      </w:pPr>
      <w:r>
        <w:rPr>
          <w:rFonts w:ascii="Arial" w:eastAsia="Times New Roman" w:hAnsi="Arial" w:cs="Arial"/>
          <w:b/>
          <w:bCs/>
          <w:lang w:val="en-US" w:eastAsia="pl-PL"/>
        </w:rPr>
        <w:t>Próbka tekstu nr 2</w:t>
      </w:r>
    </w:p>
    <w:p w14:paraId="23CA3881" w14:textId="77777777" w:rsidR="00525C62" w:rsidRDefault="00525C62" w:rsidP="00525C62">
      <w:pPr>
        <w:pStyle w:val="Akapitzlist"/>
        <w:autoSpaceDE w:val="0"/>
        <w:autoSpaceDN w:val="0"/>
        <w:adjustRightInd w:val="0"/>
        <w:spacing w:before="240" w:line="360" w:lineRule="auto"/>
        <w:ind w:left="1440"/>
        <w:jc w:val="center"/>
        <w:rPr>
          <w:rFonts w:ascii="Arial" w:eastAsia="Times New Roman" w:hAnsi="Arial" w:cs="Arial"/>
          <w:b/>
          <w:bCs/>
          <w:sz w:val="28"/>
          <w:szCs w:val="28"/>
          <w:lang w:val="en-US" w:eastAsia="pl-PL"/>
        </w:rPr>
      </w:pPr>
      <w:r>
        <w:rPr>
          <w:rFonts w:ascii="Arial" w:eastAsia="Times New Roman" w:hAnsi="Arial" w:cs="Arial"/>
          <w:b/>
          <w:bCs/>
          <w:sz w:val="28"/>
          <w:szCs w:val="28"/>
          <w:lang w:val="en-US" w:eastAsia="pl-PL"/>
        </w:rPr>
        <w:t>* * * * *</w:t>
      </w:r>
    </w:p>
    <w:p w14:paraId="1FE66403" w14:textId="77777777" w:rsidR="00525C62" w:rsidRDefault="00525C62" w:rsidP="00525C62">
      <w:pPr>
        <w:tabs>
          <w:tab w:val="left" w:pos="426"/>
        </w:tabs>
        <w:spacing w:line="276" w:lineRule="auto"/>
        <w:jc w:val="both"/>
        <w:rPr>
          <w:rFonts w:ascii="Arial" w:hAnsi="Arial" w:cs="Arial"/>
          <w:lang w:val="en-US"/>
        </w:rPr>
      </w:pPr>
      <w:r>
        <w:rPr>
          <w:rFonts w:ascii="Arial" w:eastAsia="Arial" w:hAnsi="Arial" w:cs="Arial"/>
          <w:lang w:val="en-US" w:bidi="en-US"/>
        </w:rPr>
        <w:t>The financing economy of the Medical Research Agency is based on financing from the state budget. The draft budget bill for 2021 submitted to the Polish Parliament adopted by the Council of Ministers on 28 September 2020 contains the following draft financial plan for 2021 for the Medical Research Agency:</w:t>
      </w:r>
    </w:p>
    <w:p w14:paraId="649794F0" w14:textId="77777777" w:rsidR="00525C62" w:rsidRDefault="00525C62" w:rsidP="00525C62">
      <w:pPr>
        <w:tabs>
          <w:tab w:val="left" w:pos="426"/>
        </w:tabs>
        <w:spacing w:line="276" w:lineRule="auto"/>
        <w:jc w:val="both"/>
        <w:rPr>
          <w:rFonts w:ascii="Arial" w:hAnsi="Arial" w:cs="Arial"/>
          <w:b/>
          <w:u w:val="single"/>
          <w:lang w:val="en-US"/>
        </w:rPr>
      </w:pPr>
      <w:r>
        <w:rPr>
          <w:rFonts w:ascii="Arial" w:eastAsia="Arial" w:hAnsi="Arial" w:cs="Arial"/>
          <w:b/>
          <w:u w:val="single"/>
          <w:lang w:val="en-US" w:bidi="en-US"/>
        </w:rPr>
        <w:t xml:space="preserve">The revenues and costs of the Medical Research Agency planned for 2021 amount to: </w:t>
      </w:r>
      <w:r>
        <w:rPr>
          <w:rFonts w:ascii="Arial" w:eastAsia="Arial" w:hAnsi="Arial" w:cs="Arial"/>
          <w:b/>
          <w:u w:val="single"/>
          <w:lang w:val="en-US" w:bidi="en-US"/>
        </w:rPr>
        <w:br/>
        <w:t>PLN xxx with the intended use of financial resources for the following:</w:t>
      </w:r>
    </w:p>
    <w:p w14:paraId="2639B0D4" w14:textId="77777777" w:rsidR="00525C62" w:rsidRDefault="00525C62" w:rsidP="00525C62">
      <w:pPr>
        <w:numPr>
          <w:ilvl w:val="0"/>
          <w:numId w:val="2"/>
        </w:numPr>
        <w:tabs>
          <w:tab w:val="left" w:pos="426"/>
        </w:tabs>
        <w:spacing w:line="276" w:lineRule="auto"/>
        <w:contextualSpacing/>
        <w:jc w:val="both"/>
        <w:rPr>
          <w:rFonts w:ascii="Arial" w:eastAsia="Times New Roman" w:hAnsi="Arial" w:cs="Arial"/>
          <w:b/>
          <w:u w:val="single"/>
          <w:lang w:val="en-US" w:eastAsia="pl-PL"/>
        </w:rPr>
      </w:pPr>
      <w:r>
        <w:rPr>
          <w:rFonts w:ascii="Arial" w:eastAsia="Arial" w:hAnsi="Arial" w:cs="Arial"/>
          <w:b/>
          <w:u w:val="single"/>
          <w:lang w:val="en-US" w:eastAsia="pl-PL" w:bidi="en-US"/>
        </w:rPr>
        <w:t>The operating costs have been planned at PLN xxx:</w:t>
      </w:r>
    </w:p>
    <w:p w14:paraId="0E416F3D" w14:textId="77777777" w:rsidR="00525C62" w:rsidRDefault="00525C62" w:rsidP="00525C62">
      <w:pPr>
        <w:numPr>
          <w:ilvl w:val="0"/>
          <w:numId w:val="3"/>
        </w:numPr>
        <w:tabs>
          <w:tab w:val="left" w:pos="426"/>
        </w:tabs>
        <w:spacing w:line="276" w:lineRule="auto"/>
        <w:contextualSpacing/>
        <w:jc w:val="both"/>
        <w:rPr>
          <w:rFonts w:ascii="Arial" w:eastAsia="Times New Roman" w:hAnsi="Arial" w:cs="Arial"/>
          <w:lang w:val="en-US" w:eastAsia="pl-PL"/>
        </w:rPr>
      </w:pPr>
      <w:r>
        <w:rPr>
          <w:rFonts w:ascii="Arial" w:eastAsia="Arial" w:hAnsi="Arial" w:cs="Arial"/>
          <w:lang w:val="en-US" w:eastAsia="pl-PL" w:bidi="en-US"/>
        </w:rPr>
        <w:t>Costs of depreciation of fixed assets and intangibles: PLN xxx.</w:t>
      </w:r>
    </w:p>
    <w:p w14:paraId="7F552FCD" w14:textId="77777777" w:rsidR="00525C62" w:rsidRDefault="00525C62" w:rsidP="00525C62">
      <w:pPr>
        <w:numPr>
          <w:ilvl w:val="0"/>
          <w:numId w:val="3"/>
        </w:numPr>
        <w:tabs>
          <w:tab w:val="left" w:pos="426"/>
        </w:tabs>
        <w:spacing w:line="276" w:lineRule="auto"/>
        <w:contextualSpacing/>
        <w:jc w:val="both"/>
        <w:rPr>
          <w:rFonts w:ascii="Arial" w:eastAsia="Times New Roman" w:hAnsi="Arial" w:cs="Arial"/>
          <w:lang w:val="en-US" w:eastAsia="pl-PL"/>
        </w:rPr>
      </w:pPr>
      <w:r>
        <w:rPr>
          <w:rFonts w:ascii="Arial" w:eastAsia="Arial" w:hAnsi="Arial" w:cs="Arial"/>
          <w:lang w:val="en-US" w:eastAsia="pl-PL" w:bidi="en-US"/>
        </w:rPr>
        <w:t xml:space="preserve">Materials and energy: PLN xxx; this item includes planned financial resources </w:t>
      </w:r>
      <w:r>
        <w:rPr>
          <w:rFonts w:ascii="Arial" w:eastAsia="Arial" w:hAnsi="Arial" w:cs="Arial"/>
          <w:lang w:val="en-US" w:eastAsia="pl-PL" w:bidi="en-US"/>
        </w:rPr>
        <w:br/>
        <w:t>for the costs of consumption of electricity, water, fuel and materials related to the Agency’s activity, i.e. office and household goods, equipment.</w:t>
      </w:r>
    </w:p>
    <w:p w14:paraId="0217D7F8" w14:textId="77777777" w:rsidR="00525C62" w:rsidRDefault="00525C62" w:rsidP="00525C62">
      <w:pPr>
        <w:numPr>
          <w:ilvl w:val="0"/>
          <w:numId w:val="3"/>
        </w:numPr>
        <w:tabs>
          <w:tab w:val="left" w:pos="426"/>
        </w:tabs>
        <w:spacing w:line="276" w:lineRule="auto"/>
        <w:contextualSpacing/>
        <w:jc w:val="both"/>
        <w:rPr>
          <w:rFonts w:ascii="Arial" w:eastAsia="Times New Roman" w:hAnsi="Arial" w:cs="Arial"/>
          <w:lang w:val="en-US" w:eastAsia="pl-PL"/>
        </w:rPr>
      </w:pPr>
      <w:r>
        <w:rPr>
          <w:rFonts w:ascii="Arial" w:eastAsia="Arial" w:hAnsi="Arial" w:cs="Arial"/>
          <w:lang w:val="en-US" w:eastAsia="pl-PL" w:bidi="en-US"/>
        </w:rPr>
        <w:t>Third-party services: PLN xxx; this item includes planned financial resources to cover the costs of:</w:t>
      </w:r>
    </w:p>
    <w:p w14:paraId="67C4E862" w14:textId="77777777" w:rsidR="00525C62" w:rsidRDefault="00525C62" w:rsidP="00525C62">
      <w:pPr>
        <w:numPr>
          <w:ilvl w:val="0"/>
          <w:numId w:val="4"/>
        </w:numPr>
        <w:tabs>
          <w:tab w:val="left" w:pos="426"/>
        </w:tabs>
        <w:spacing w:line="276" w:lineRule="auto"/>
        <w:contextualSpacing/>
        <w:jc w:val="both"/>
        <w:rPr>
          <w:rFonts w:ascii="Arial" w:eastAsia="Times New Roman" w:hAnsi="Arial" w:cs="Arial"/>
          <w:lang w:val="en-US" w:eastAsia="pl-PL"/>
        </w:rPr>
      </w:pPr>
      <w:r>
        <w:rPr>
          <w:rFonts w:ascii="Arial" w:eastAsia="Arial" w:hAnsi="Arial" w:cs="Arial"/>
          <w:lang w:val="en-US" w:eastAsia="pl-PL" w:bidi="en-US"/>
        </w:rPr>
        <w:t xml:space="preserve">lease of MRA headquarters along with operating costs (3 floors are planned to be rented since 2021, 2 floors have been rented since June 2020); </w:t>
      </w:r>
    </w:p>
    <w:p w14:paraId="0813E6A7" w14:textId="77777777" w:rsidR="00525C62" w:rsidRDefault="00525C62" w:rsidP="00525C62">
      <w:pPr>
        <w:numPr>
          <w:ilvl w:val="0"/>
          <w:numId w:val="4"/>
        </w:numPr>
        <w:tabs>
          <w:tab w:val="left" w:pos="426"/>
        </w:tabs>
        <w:spacing w:line="276" w:lineRule="auto"/>
        <w:contextualSpacing/>
        <w:jc w:val="both"/>
        <w:rPr>
          <w:rFonts w:ascii="Arial" w:eastAsia="Times New Roman" w:hAnsi="Arial" w:cs="Arial"/>
          <w:lang w:val="en-US" w:eastAsia="pl-PL"/>
        </w:rPr>
      </w:pPr>
      <w:r>
        <w:rPr>
          <w:rFonts w:ascii="Arial" w:eastAsia="Arial" w:hAnsi="Arial" w:cs="Arial"/>
          <w:lang w:val="en-US" w:eastAsia="pl-PL" w:bidi="en-US"/>
        </w:rPr>
        <w:t xml:space="preserve">transport services and costs related to car servicing (rental and parking): </w:t>
      </w:r>
    </w:p>
    <w:p w14:paraId="7E84401F" w14:textId="77777777" w:rsidR="00525C62" w:rsidRDefault="00525C62" w:rsidP="00525C62">
      <w:pPr>
        <w:numPr>
          <w:ilvl w:val="0"/>
          <w:numId w:val="4"/>
        </w:numPr>
        <w:tabs>
          <w:tab w:val="left" w:pos="426"/>
        </w:tabs>
        <w:spacing w:line="276" w:lineRule="auto"/>
        <w:contextualSpacing/>
        <w:jc w:val="both"/>
        <w:rPr>
          <w:rFonts w:ascii="Arial" w:eastAsia="Times New Roman" w:hAnsi="Arial" w:cs="Arial"/>
          <w:lang w:val="en-US" w:eastAsia="pl-PL"/>
        </w:rPr>
      </w:pPr>
      <w:r>
        <w:rPr>
          <w:rFonts w:ascii="Arial" w:eastAsia="Arial" w:hAnsi="Arial" w:cs="Arial"/>
          <w:lang w:val="en-US" w:eastAsia="pl-PL" w:bidi="en-US"/>
        </w:rPr>
        <w:t xml:space="preserve">IT services (maintenance of the financial, HR and accounting system and the IT system referred to in Article 21 of the ABM Act); </w:t>
      </w:r>
    </w:p>
    <w:p w14:paraId="329CF2F4" w14:textId="77777777" w:rsidR="00525C62" w:rsidRDefault="00525C62" w:rsidP="00525C62">
      <w:pPr>
        <w:numPr>
          <w:ilvl w:val="0"/>
          <w:numId w:val="4"/>
        </w:numPr>
        <w:tabs>
          <w:tab w:val="left" w:pos="426"/>
        </w:tabs>
        <w:spacing w:line="276" w:lineRule="auto"/>
        <w:contextualSpacing/>
        <w:jc w:val="both"/>
        <w:rPr>
          <w:rFonts w:ascii="Arial" w:eastAsia="Times New Roman" w:hAnsi="Arial" w:cs="Arial"/>
          <w:lang w:val="en-US" w:eastAsia="pl-PL"/>
        </w:rPr>
      </w:pPr>
      <w:r>
        <w:rPr>
          <w:rFonts w:ascii="Arial" w:eastAsia="Arial" w:hAnsi="Arial" w:cs="Arial"/>
          <w:lang w:val="en-US" w:eastAsia="pl-PL" w:bidi="en-US"/>
        </w:rPr>
        <w:t>cell phone and Internet services;</w:t>
      </w:r>
    </w:p>
    <w:p w14:paraId="4A2140B3" w14:textId="77777777" w:rsidR="00525C62" w:rsidRDefault="00525C62" w:rsidP="00525C62">
      <w:pPr>
        <w:numPr>
          <w:ilvl w:val="0"/>
          <w:numId w:val="4"/>
        </w:numPr>
        <w:tabs>
          <w:tab w:val="left" w:pos="426"/>
        </w:tabs>
        <w:spacing w:line="276" w:lineRule="auto"/>
        <w:contextualSpacing/>
        <w:jc w:val="both"/>
        <w:rPr>
          <w:rFonts w:ascii="Arial" w:eastAsia="Times New Roman" w:hAnsi="Arial" w:cs="Arial"/>
          <w:lang w:val="en-US" w:eastAsia="pl-PL"/>
        </w:rPr>
      </w:pPr>
      <w:r>
        <w:rPr>
          <w:rFonts w:ascii="Arial" w:eastAsia="Arial" w:hAnsi="Arial" w:cs="Arial"/>
          <w:lang w:val="en-US" w:eastAsia="pl-PL" w:bidi="en-US"/>
        </w:rPr>
        <w:t>publishing services (publication of a report on clinical studies and a magazine);</w:t>
      </w:r>
    </w:p>
    <w:p w14:paraId="78BBE67F" w14:textId="77777777" w:rsidR="00525C62" w:rsidRDefault="00525C62" w:rsidP="00525C62">
      <w:pPr>
        <w:numPr>
          <w:ilvl w:val="0"/>
          <w:numId w:val="4"/>
        </w:numPr>
        <w:tabs>
          <w:tab w:val="left" w:pos="426"/>
        </w:tabs>
        <w:spacing w:line="276" w:lineRule="auto"/>
        <w:contextualSpacing/>
        <w:jc w:val="both"/>
        <w:rPr>
          <w:rFonts w:ascii="Arial" w:eastAsia="Times New Roman" w:hAnsi="Arial" w:cs="Arial"/>
          <w:lang w:eastAsia="pl-PL"/>
        </w:rPr>
      </w:pPr>
      <w:r>
        <w:rPr>
          <w:rFonts w:ascii="Arial" w:eastAsia="Arial" w:hAnsi="Arial" w:cs="Arial"/>
          <w:lang w:eastAsia="pl-PL" w:bidi="en-US"/>
        </w:rPr>
        <w:t>film and printing services;</w:t>
      </w:r>
    </w:p>
    <w:p w14:paraId="5B867D50" w14:textId="77777777" w:rsidR="00525C62" w:rsidRDefault="00525C62" w:rsidP="00525C62">
      <w:pPr>
        <w:numPr>
          <w:ilvl w:val="0"/>
          <w:numId w:val="4"/>
        </w:numPr>
        <w:tabs>
          <w:tab w:val="left" w:pos="426"/>
        </w:tabs>
        <w:spacing w:line="276" w:lineRule="auto"/>
        <w:contextualSpacing/>
        <w:jc w:val="both"/>
        <w:rPr>
          <w:rFonts w:ascii="Arial" w:eastAsia="Times New Roman" w:hAnsi="Arial" w:cs="Arial"/>
          <w:lang w:eastAsia="pl-PL"/>
        </w:rPr>
      </w:pPr>
      <w:proofErr w:type="spellStart"/>
      <w:r>
        <w:rPr>
          <w:rFonts w:ascii="Arial" w:eastAsia="Arial" w:hAnsi="Arial" w:cs="Arial"/>
          <w:lang w:eastAsia="pl-PL" w:bidi="en-US"/>
        </w:rPr>
        <w:t>photocopying</w:t>
      </w:r>
      <w:proofErr w:type="spellEnd"/>
      <w:r>
        <w:rPr>
          <w:rFonts w:ascii="Arial" w:eastAsia="Arial" w:hAnsi="Arial" w:cs="Arial"/>
          <w:lang w:eastAsia="pl-PL" w:bidi="en-US"/>
        </w:rPr>
        <w:t xml:space="preserve"> and </w:t>
      </w:r>
      <w:proofErr w:type="spellStart"/>
      <w:r>
        <w:rPr>
          <w:rFonts w:ascii="Arial" w:eastAsia="Arial" w:hAnsi="Arial" w:cs="Arial"/>
          <w:lang w:eastAsia="pl-PL" w:bidi="en-US"/>
        </w:rPr>
        <w:t>maintenance</w:t>
      </w:r>
      <w:proofErr w:type="spellEnd"/>
      <w:r>
        <w:rPr>
          <w:rFonts w:ascii="Arial" w:eastAsia="Arial" w:hAnsi="Arial" w:cs="Arial"/>
          <w:lang w:eastAsia="pl-PL" w:bidi="en-US"/>
        </w:rPr>
        <w:t xml:space="preserve"> services;</w:t>
      </w:r>
    </w:p>
    <w:p w14:paraId="5182448C" w14:textId="77777777" w:rsidR="00525C62" w:rsidRDefault="00525C62" w:rsidP="00525C62">
      <w:pPr>
        <w:numPr>
          <w:ilvl w:val="0"/>
          <w:numId w:val="4"/>
        </w:numPr>
        <w:tabs>
          <w:tab w:val="left" w:pos="426"/>
        </w:tabs>
        <w:spacing w:line="276" w:lineRule="auto"/>
        <w:contextualSpacing/>
        <w:jc w:val="both"/>
        <w:rPr>
          <w:rFonts w:ascii="Arial" w:eastAsia="Times New Roman" w:hAnsi="Arial" w:cs="Arial"/>
          <w:lang w:eastAsia="pl-PL"/>
        </w:rPr>
      </w:pPr>
      <w:proofErr w:type="spellStart"/>
      <w:r>
        <w:rPr>
          <w:rFonts w:ascii="Arial" w:eastAsia="Arial" w:hAnsi="Arial" w:cs="Arial"/>
          <w:lang w:eastAsia="pl-PL" w:bidi="en-US"/>
        </w:rPr>
        <w:t>postal</w:t>
      </w:r>
      <w:proofErr w:type="spellEnd"/>
      <w:r>
        <w:rPr>
          <w:rFonts w:ascii="Arial" w:eastAsia="Arial" w:hAnsi="Arial" w:cs="Arial"/>
          <w:lang w:eastAsia="pl-PL" w:bidi="en-US"/>
        </w:rPr>
        <w:t xml:space="preserve"> and </w:t>
      </w:r>
      <w:proofErr w:type="spellStart"/>
      <w:r>
        <w:rPr>
          <w:rFonts w:ascii="Arial" w:eastAsia="Arial" w:hAnsi="Arial" w:cs="Arial"/>
          <w:lang w:eastAsia="pl-PL" w:bidi="en-US"/>
        </w:rPr>
        <w:t>courier</w:t>
      </w:r>
      <w:proofErr w:type="spellEnd"/>
      <w:r>
        <w:rPr>
          <w:rFonts w:ascii="Arial" w:eastAsia="Arial" w:hAnsi="Arial" w:cs="Arial"/>
          <w:lang w:eastAsia="pl-PL" w:bidi="en-US"/>
        </w:rPr>
        <w:t xml:space="preserve"> services; </w:t>
      </w:r>
    </w:p>
    <w:p w14:paraId="0D8C8A93" w14:textId="77777777" w:rsidR="00525C62" w:rsidRDefault="00525C62" w:rsidP="00525C62">
      <w:pPr>
        <w:numPr>
          <w:ilvl w:val="0"/>
          <w:numId w:val="4"/>
        </w:numPr>
        <w:tabs>
          <w:tab w:val="left" w:pos="426"/>
        </w:tabs>
        <w:spacing w:line="276" w:lineRule="auto"/>
        <w:contextualSpacing/>
        <w:jc w:val="both"/>
        <w:rPr>
          <w:rFonts w:ascii="Arial" w:eastAsia="Times New Roman" w:hAnsi="Arial" w:cs="Arial"/>
          <w:lang w:eastAsia="pl-PL"/>
        </w:rPr>
      </w:pPr>
      <w:proofErr w:type="spellStart"/>
      <w:r>
        <w:rPr>
          <w:rFonts w:ascii="Arial" w:eastAsia="Arial" w:hAnsi="Arial" w:cs="Arial"/>
          <w:lang w:eastAsia="pl-PL" w:bidi="en-US"/>
        </w:rPr>
        <w:t>renovation</w:t>
      </w:r>
      <w:proofErr w:type="spellEnd"/>
      <w:r>
        <w:rPr>
          <w:rFonts w:ascii="Arial" w:eastAsia="Arial" w:hAnsi="Arial" w:cs="Arial"/>
          <w:lang w:eastAsia="pl-PL" w:bidi="en-US"/>
        </w:rPr>
        <w:t xml:space="preserve"> of </w:t>
      </w:r>
      <w:proofErr w:type="spellStart"/>
      <w:r>
        <w:rPr>
          <w:rFonts w:ascii="Arial" w:eastAsia="Arial" w:hAnsi="Arial" w:cs="Arial"/>
          <w:lang w:eastAsia="pl-PL" w:bidi="en-US"/>
        </w:rPr>
        <w:t>rooms</w:t>
      </w:r>
      <w:proofErr w:type="spellEnd"/>
      <w:r>
        <w:rPr>
          <w:rFonts w:ascii="Arial" w:eastAsia="Arial" w:hAnsi="Arial" w:cs="Arial"/>
          <w:lang w:eastAsia="pl-PL" w:bidi="en-US"/>
        </w:rPr>
        <w:t>;</w:t>
      </w:r>
    </w:p>
    <w:p w14:paraId="63ACE977" w14:textId="77777777" w:rsidR="00525C62" w:rsidRDefault="00525C62" w:rsidP="00525C62">
      <w:pPr>
        <w:numPr>
          <w:ilvl w:val="0"/>
          <w:numId w:val="4"/>
        </w:numPr>
        <w:tabs>
          <w:tab w:val="left" w:pos="426"/>
        </w:tabs>
        <w:spacing w:line="276" w:lineRule="auto"/>
        <w:contextualSpacing/>
        <w:jc w:val="both"/>
        <w:rPr>
          <w:rFonts w:ascii="Arial" w:eastAsia="Times New Roman" w:hAnsi="Arial" w:cs="Arial"/>
          <w:lang w:eastAsia="pl-PL"/>
        </w:rPr>
      </w:pPr>
      <w:proofErr w:type="spellStart"/>
      <w:r>
        <w:rPr>
          <w:rFonts w:ascii="Arial" w:eastAsia="Arial" w:hAnsi="Arial" w:cs="Arial"/>
          <w:lang w:eastAsia="pl-PL" w:bidi="en-US"/>
        </w:rPr>
        <w:t>legal</w:t>
      </w:r>
      <w:proofErr w:type="spellEnd"/>
      <w:r>
        <w:rPr>
          <w:rFonts w:ascii="Arial" w:eastAsia="Arial" w:hAnsi="Arial" w:cs="Arial"/>
          <w:lang w:eastAsia="pl-PL" w:bidi="en-US"/>
        </w:rPr>
        <w:t xml:space="preserve"> </w:t>
      </w:r>
      <w:proofErr w:type="spellStart"/>
      <w:r>
        <w:rPr>
          <w:rFonts w:ascii="Arial" w:eastAsia="Arial" w:hAnsi="Arial" w:cs="Arial"/>
          <w:lang w:eastAsia="pl-PL" w:bidi="en-US"/>
        </w:rPr>
        <w:t>advisory</w:t>
      </w:r>
      <w:proofErr w:type="spellEnd"/>
      <w:r>
        <w:rPr>
          <w:rFonts w:ascii="Arial" w:eastAsia="Arial" w:hAnsi="Arial" w:cs="Arial"/>
          <w:lang w:eastAsia="pl-PL" w:bidi="en-US"/>
        </w:rPr>
        <w:t xml:space="preserve"> services;</w:t>
      </w:r>
    </w:p>
    <w:p w14:paraId="7B855FAE" w14:textId="77777777" w:rsidR="00525C62" w:rsidRDefault="00525C62" w:rsidP="00525C62">
      <w:pPr>
        <w:numPr>
          <w:ilvl w:val="0"/>
          <w:numId w:val="4"/>
        </w:numPr>
        <w:tabs>
          <w:tab w:val="left" w:pos="426"/>
        </w:tabs>
        <w:spacing w:line="276" w:lineRule="auto"/>
        <w:contextualSpacing/>
        <w:jc w:val="both"/>
        <w:rPr>
          <w:rFonts w:ascii="Arial" w:eastAsia="Times New Roman" w:hAnsi="Arial" w:cs="Arial"/>
          <w:lang w:val="en-US" w:eastAsia="pl-PL"/>
        </w:rPr>
      </w:pPr>
      <w:r>
        <w:rPr>
          <w:rFonts w:ascii="Arial" w:eastAsia="Arial" w:hAnsi="Arial" w:cs="Arial"/>
          <w:lang w:val="en-US" w:eastAsia="pl-PL" w:bidi="en-US"/>
        </w:rPr>
        <w:t>organization of conferences, seminars, social campaigns;</w:t>
      </w:r>
    </w:p>
    <w:p w14:paraId="46B4942A" w14:textId="77777777" w:rsidR="00525C62" w:rsidRDefault="00525C62" w:rsidP="00525C62">
      <w:pPr>
        <w:numPr>
          <w:ilvl w:val="0"/>
          <w:numId w:val="4"/>
        </w:numPr>
        <w:tabs>
          <w:tab w:val="left" w:pos="426"/>
        </w:tabs>
        <w:spacing w:line="276" w:lineRule="auto"/>
        <w:contextualSpacing/>
        <w:jc w:val="both"/>
        <w:rPr>
          <w:rFonts w:ascii="Arial" w:eastAsia="Times New Roman" w:hAnsi="Arial" w:cs="Arial"/>
          <w:lang w:val="en-US" w:eastAsia="pl-PL"/>
        </w:rPr>
      </w:pPr>
      <w:r>
        <w:rPr>
          <w:rFonts w:ascii="Arial" w:eastAsia="Arial" w:hAnsi="Arial" w:cs="Arial"/>
          <w:lang w:val="en-US" w:eastAsia="pl-PL" w:bidi="en-US"/>
        </w:rPr>
        <w:t xml:space="preserve">purchase of </w:t>
      </w:r>
      <w:proofErr w:type="spellStart"/>
      <w:r>
        <w:rPr>
          <w:rFonts w:ascii="Arial" w:eastAsia="Arial" w:hAnsi="Arial" w:cs="Arial"/>
          <w:lang w:val="en-US" w:eastAsia="pl-PL" w:bidi="en-US"/>
        </w:rPr>
        <w:t>licences</w:t>
      </w:r>
      <w:proofErr w:type="spellEnd"/>
      <w:r>
        <w:rPr>
          <w:rFonts w:ascii="Arial" w:eastAsia="Arial" w:hAnsi="Arial" w:cs="Arial"/>
          <w:lang w:val="en-US" w:eastAsia="pl-PL" w:bidi="en-US"/>
        </w:rPr>
        <w:t xml:space="preserve"> and software;</w:t>
      </w:r>
    </w:p>
    <w:p w14:paraId="18A4F623" w14:textId="77777777" w:rsidR="00525C62" w:rsidRDefault="00525C62" w:rsidP="00525C62">
      <w:pPr>
        <w:numPr>
          <w:ilvl w:val="0"/>
          <w:numId w:val="4"/>
        </w:numPr>
        <w:tabs>
          <w:tab w:val="left" w:pos="426"/>
        </w:tabs>
        <w:spacing w:line="276" w:lineRule="auto"/>
        <w:contextualSpacing/>
        <w:jc w:val="both"/>
        <w:rPr>
          <w:rFonts w:ascii="Arial" w:eastAsia="Times New Roman" w:hAnsi="Arial" w:cs="Arial"/>
          <w:lang w:eastAsia="pl-PL"/>
        </w:rPr>
      </w:pPr>
      <w:proofErr w:type="spellStart"/>
      <w:r>
        <w:rPr>
          <w:rFonts w:ascii="Arial" w:eastAsia="Arial" w:hAnsi="Arial" w:cs="Arial"/>
          <w:lang w:eastAsia="pl-PL" w:bidi="en-US"/>
        </w:rPr>
        <w:t>translation</w:t>
      </w:r>
      <w:proofErr w:type="spellEnd"/>
      <w:r>
        <w:rPr>
          <w:rFonts w:ascii="Arial" w:eastAsia="Arial" w:hAnsi="Arial" w:cs="Arial"/>
          <w:lang w:eastAsia="pl-PL" w:bidi="en-US"/>
        </w:rPr>
        <w:t xml:space="preserve"> services; </w:t>
      </w:r>
    </w:p>
    <w:p w14:paraId="0B835F41" w14:textId="77777777" w:rsidR="00525C62" w:rsidRDefault="00525C62" w:rsidP="00525C62">
      <w:pPr>
        <w:numPr>
          <w:ilvl w:val="0"/>
          <w:numId w:val="4"/>
        </w:numPr>
        <w:tabs>
          <w:tab w:val="left" w:pos="426"/>
        </w:tabs>
        <w:spacing w:line="276" w:lineRule="auto"/>
        <w:contextualSpacing/>
        <w:jc w:val="both"/>
        <w:rPr>
          <w:rFonts w:ascii="Arial" w:eastAsia="Times New Roman" w:hAnsi="Arial" w:cs="Arial"/>
          <w:lang w:val="en-US" w:eastAsia="pl-PL"/>
        </w:rPr>
      </w:pPr>
      <w:r>
        <w:rPr>
          <w:rFonts w:ascii="Arial" w:eastAsia="Arial" w:hAnsi="Arial" w:cs="Arial"/>
          <w:lang w:val="en-US" w:eastAsia="pl-PL" w:bidi="en-US"/>
        </w:rPr>
        <w:t xml:space="preserve">services concerning the creation of document templates for conducting non-commercial clinical research studies (protocol, ICF, etc.); </w:t>
      </w:r>
    </w:p>
    <w:p w14:paraId="49E9FF7A" w14:textId="77777777" w:rsidR="00525C62" w:rsidRDefault="00525C62" w:rsidP="00525C62">
      <w:pPr>
        <w:numPr>
          <w:ilvl w:val="0"/>
          <w:numId w:val="4"/>
        </w:numPr>
        <w:tabs>
          <w:tab w:val="left" w:pos="426"/>
        </w:tabs>
        <w:spacing w:line="276" w:lineRule="auto"/>
        <w:contextualSpacing/>
        <w:jc w:val="both"/>
        <w:rPr>
          <w:rFonts w:ascii="Arial" w:eastAsia="Times New Roman" w:hAnsi="Arial" w:cs="Arial"/>
          <w:lang w:eastAsia="pl-PL"/>
        </w:rPr>
      </w:pPr>
      <w:r>
        <w:rPr>
          <w:rFonts w:ascii="Arial" w:eastAsia="Arial" w:hAnsi="Arial" w:cs="Arial"/>
          <w:lang w:eastAsia="pl-PL" w:bidi="en-US"/>
        </w:rPr>
        <w:t>catering services;</w:t>
      </w:r>
    </w:p>
    <w:p w14:paraId="30FAD45F" w14:textId="77777777" w:rsidR="00525C62" w:rsidRDefault="00525C62" w:rsidP="00525C62">
      <w:pPr>
        <w:numPr>
          <w:ilvl w:val="0"/>
          <w:numId w:val="4"/>
        </w:numPr>
        <w:tabs>
          <w:tab w:val="left" w:pos="426"/>
        </w:tabs>
        <w:spacing w:line="276" w:lineRule="auto"/>
        <w:contextualSpacing/>
        <w:jc w:val="both"/>
        <w:rPr>
          <w:rFonts w:ascii="Arial" w:eastAsia="Times New Roman" w:hAnsi="Arial" w:cs="Arial"/>
          <w:lang w:val="en-US" w:eastAsia="pl-PL"/>
        </w:rPr>
      </w:pPr>
      <w:r>
        <w:rPr>
          <w:rFonts w:ascii="Arial" w:eastAsia="Arial" w:hAnsi="Arial" w:cs="Arial"/>
          <w:lang w:val="en-US" w:eastAsia="pl-PL" w:bidi="en-US"/>
        </w:rPr>
        <w:t>remuneration for experts evaluating applications for funding on the basis of signed contracts under business activity;</w:t>
      </w:r>
    </w:p>
    <w:p w14:paraId="21B20D51" w14:textId="77777777" w:rsidR="00525C62" w:rsidRDefault="00525C62" w:rsidP="00525C62">
      <w:pPr>
        <w:numPr>
          <w:ilvl w:val="0"/>
          <w:numId w:val="4"/>
        </w:numPr>
        <w:tabs>
          <w:tab w:val="left" w:pos="426"/>
        </w:tabs>
        <w:spacing w:line="276" w:lineRule="auto"/>
        <w:contextualSpacing/>
        <w:jc w:val="both"/>
        <w:rPr>
          <w:rFonts w:ascii="Arial" w:eastAsia="Times New Roman" w:hAnsi="Arial" w:cs="Arial"/>
          <w:lang w:val="en-US" w:eastAsia="pl-PL"/>
        </w:rPr>
      </w:pPr>
      <w:r>
        <w:rPr>
          <w:rFonts w:ascii="Arial" w:eastAsia="Arial" w:hAnsi="Arial" w:cs="Arial"/>
          <w:lang w:val="en-US" w:eastAsia="pl-PL" w:bidi="en-US"/>
        </w:rPr>
        <w:t xml:space="preserve">electronic access to information services, e.g., Lex, </w:t>
      </w:r>
      <w:proofErr w:type="spellStart"/>
      <w:r>
        <w:rPr>
          <w:rFonts w:ascii="Arial" w:eastAsia="Arial" w:hAnsi="Arial" w:cs="Arial"/>
          <w:lang w:val="en-US" w:eastAsia="pl-PL" w:bidi="en-US"/>
        </w:rPr>
        <w:t>Gofin</w:t>
      </w:r>
      <w:proofErr w:type="spellEnd"/>
      <w:r>
        <w:rPr>
          <w:rFonts w:ascii="Arial" w:eastAsia="Arial" w:hAnsi="Arial" w:cs="Arial"/>
          <w:lang w:val="en-US" w:eastAsia="pl-PL" w:bidi="en-US"/>
        </w:rPr>
        <w:t xml:space="preserve">; </w:t>
      </w:r>
    </w:p>
    <w:p w14:paraId="46B596DF" w14:textId="77777777" w:rsidR="00525C62" w:rsidRDefault="00525C62" w:rsidP="00525C62">
      <w:pPr>
        <w:numPr>
          <w:ilvl w:val="0"/>
          <w:numId w:val="4"/>
        </w:numPr>
        <w:tabs>
          <w:tab w:val="left" w:pos="426"/>
        </w:tabs>
        <w:spacing w:line="276" w:lineRule="auto"/>
        <w:contextualSpacing/>
        <w:jc w:val="both"/>
        <w:rPr>
          <w:rFonts w:ascii="Arial" w:eastAsia="Times New Roman" w:hAnsi="Arial" w:cs="Arial"/>
          <w:lang w:val="en-US" w:eastAsia="pl-PL"/>
        </w:rPr>
      </w:pPr>
      <w:r>
        <w:rPr>
          <w:rFonts w:ascii="Arial" w:eastAsia="Arial" w:hAnsi="Arial" w:cs="Arial"/>
          <w:lang w:val="en-US" w:eastAsia="pl-PL" w:bidi="en-US"/>
        </w:rPr>
        <w:t xml:space="preserve"> costs related to the financial statement audit for 2020;</w:t>
      </w:r>
    </w:p>
    <w:p w14:paraId="3F69B690" w14:textId="77777777" w:rsidR="00525C62" w:rsidRDefault="00525C62" w:rsidP="00525C62">
      <w:pPr>
        <w:numPr>
          <w:ilvl w:val="0"/>
          <w:numId w:val="4"/>
        </w:numPr>
        <w:tabs>
          <w:tab w:val="left" w:pos="426"/>
        </w:tabs>
        <w:spacing w:line="276" w:lineRule="auto"/>
        <w:contextualSpacing/>
        <w:jc w:val="both"/>
        <w:rPr>
          <w:rFonts w:ascii="Arial" w:eastAsia="Times New Roman" w:hAnsi="Arial" w:cs="Arial"/>
          <w:lang w:eastAsia="pl-PL"/>
        </w:rPr>
      </w:pPr>
      <w:proofErr w:type="spellStart"/>
      <w:r>
        <w:rPr>
          <w:rFonts w:ascii="Arial" w:eastAsia="Arial" w:hAnsi="Arial" w:cs="Arial"/>
          <w:lang w:eastAsia="pl-PL" w:bidi="en-US"/>
        </w:rPr>
        <w:t>office</w:t>
      </w:r>
      <w:proofErr w:type="spellEnd"/>
      <w:r>
        <w:rPr>
          <w:rFonts w:ascii="Arial" w:eastAsia="Arial" w:hAnsi="Arial" w:cs="Arial"/>
          <w:lang w:eastAsia="pl-PL" w:bidi="en-US"/>
        </w:rPr>
        <w:t xml:space="preserve"> </w:t>
      </w:r>
      <w:proofErr w:type="spellStart"/>
      <w:r>
        <w:rPr>
          <w:rFonts w:ascii="Arial" w:eastAsia="Arial" w:hAnsi="Arial" w:cs="Arial"/>
          <w:lang w:eastAsia="pl-PL" w:bidi="en-US"/>
        </w:rPr>
        <w:t>space</w:t>
      </w:r>
      <w:proofErr w:type="spellEnd"/>
      <w:r>
        <w:rPr>
          <w:rFonts w:ascii="Arial" w:eastAsia="Arial" w:hAnsi="Arial" w:cs="Arial"/>
          <w:lang w:eastAsia="pl-PL" w:bidi="en-US"/>
        </w:rPr>
        <w:t xml:space="preserve"> </w:t>
      </w:r>
      <w:proofErr w:type="spellStart"/>
      <w:r>
        <w:rPr>
          <w:rFonts w:ascii="Arial" w:eastAsia="Arial" w:hAnsi="Arial" w:cs="Arial"/>
          <w:lang w:eastAsia="pl-PL" w:bidi="en-US"/>
        </w:rPr>
        <w:t>insurance</w:t>
      </w:r>
      <w:proofErr w:type="spellEnd"/>
      <w:r>
        <w:rPr>
          <w:rFonts w:ascii="Arial" w:eastAsia="Arial" w:hAnsi="Arial" w:cs="Arial"/>
          <w:lang w:eastAsia="pl-PL" w:bidi="en-US"/>
        </w:rPr>
        <w:t xml:space="preserve">; </w:t>
      </w:r>
    </w:p>
    <w:p w14:paraId="558D8C13" w14:textId="77777777" w:rsidR="00525C62" w:rsidRDefault="00525C62" w:rsidP="00525C62">
      <w:pPr>
        <w:numPr>
          <w:ilvl w:val="0"/>
          <w:numId w:val="4"/>
        </w:numPr>
        <w:tabs>
          <w:tab w:val="left" w:pos="426"/>
        </w:tabs>
        <w:spacing w:line="276" w:lineRule="auto"/>
        <w:contextualSpacing/>
        <w:jc w:val="both"/>
        <w:rPr>
          <w:rFonts w:ascii="Arial" w:eastAsia="Times New Roman" w:hAnsi="Arial" w:cs="Arial"/>
          <w:lang w:val="en-US" w:eastAsia="pl-PL"/>
        </w:rPr>
      </w:pPr>
      <w:r>
        <w:rPr>
          <w:rFonts w:ascii="Arial" w:eastAsia="Arial" w:hAnsi="Arial" w:cs="Arial"/>
          <w:lang w:val="en-US" w:eastAsia="pl-PL" w:bidi="en-US"/>
        </w:rPr>
        <w:t>other services (car wash, stamps, electronic signatures, etc.);</w:t>
      </w:r>
    </w:p>
    <w:p w14:paraId="3243A5F8" w14:textId="77777777" w:rsidR="00525C62" w:rsidRDefault="00525C62" w:rsidP="00525C62">
      <w:pPr>
        <w:numPr>
          <w:ilvl w:val="0"/>
          <w:numId w:val="4"/>
        </w:numPr>
        <w:tabs>
          <w:tab w:val="left" w:pos="426"/>
        </w:tabs>
        <w:spacing w:line="276" w:lineRule="auto"/>
        <w:contextualSpacing/>
        <w:jc w:val="both"/>
        <w:rPr>
          <w:rFonts w:ascii="Arial" w:eastAsia="Times New Roman" w:hAnsi="Arial" w:cs="Arial"/>
          <w:lang w:eastAsia="pl-PL"/>
        </w:rPr>
      </w:pPr>
      <w:r>
        <w:rPr>
          <w:rFonts w:ascii="Arial" w:eastAsia="Arial" w:hAnsi="Arial" w:cs="Arial"/>
          <w:lang w:eastAsia="pl-PL" w:bidi="en-US"/>
        </w:rPr>
        <w:t xml:space="preserve">POWER </w:t>
      </w:r>
      <w:proofErr w:type="spellStart"/>
      <w:r>
        <w:rPr>
          <w:rFonts w:ascii="Arial" w:eastAsia="Arial" w:hAnsi="Arial" w:cs="Arial"/>
          <w:lang w:eastAsia="pl-PL" w:bidi="en-US"/>
        </w:rPr>
        <w:t>project</w:t>
      </w:r>
      <w:proofErr w:type="spellEnd"/>
      <w:r>
        <w:rPr>
          <w:rFonts w:ascii="Arial" w:eastAsia="Arial" w:hAnsi="Arial" w:cs="Arial"/>
          <w:lang w:eastAsia="pl-PL" w:bidi="en-US"/>
        </w:rPr>
        <w:t xml:space="preserve"> services.</w:t>
      </w:r>
    </w:p>
    <w:p w14:paraId="6842F89A" w14:textId="77777777" w:rsidR="00525C62" w:rsidRDefault="00525C62" w:rsidP="00525C62">
      <w:pPr>
        <w:numPr>
          <w:ilvl w:val="0"/>
          <w:numId w:val="3"/>
        </w:numPr>
        <w:tabs>
          <w:tab w:val="left" w:pos="426"/>
        </w:tabs>
        <w:spacing w:line="276" w:lineRule="auto"/>
        <w:contextualSpacing/>
        <w:jc w:val="both"/>
        <w:rPr>
          <w:rFonts w:ascii="Arial" w:eastAsia="Times New Roman" w:hAnsi="Arial" w:cs="Arial"/>
          <w:lang w:val="en-US" w:eastAsia="pl-PL"/>
        </w:rPr>
      </w:pPr>
      <w:r>
        <w:rPr>
          <w:rFonts w:ascii="Arial" w:eastAsia="Arial" w:hAnsi="Arial" w:cs="Arial"/>
          <w:lang w:val="en-US" w:eastAsia="pl-PL" w:bidi="en-US"/>
        </w:rPr>
        <w:t>Remuneration PLN xxx, of which:</w:t>
      </w:r>
    </w:p>
    <w:p w14:paraId="6C482028" w14:textId="77777777" w:rsidR="00525C62" w:rsidRDefault="00525C62" w:rsidP="00525C62">
      <w:pPr>
        <w:tabs>
          <w:tab w:val="left" w:pos="426"/>
        </w:tabs>
        <w:spacing w:after="0" w:line="276" w:lineRule="auto"/>
        <w:ind w:left="765"/>
        <w:contextualSpacing/>
        <w:jc w:val="both"/>
        <w:rPr>
          <w:rFonts w:ascii="Arial" w:eastAsia="Times New Roman" w:hAnsi="Arial" w:cs="Arial"/>
          <w:lang w:val="en-US" w:eastAsia="pl-PL"/>
        </w:rPr>
      </w:pPr>
      <w:r>
        <w:rPr>
          <w:rFonts w:ascii="Arial" w:eastAsia="Arial" w:hAnsi="Arial" w:cs="Arial"/>
          <w:lang w:val="en-US" w:eastAsia="pl-PL" w:bidi="en-US"/>
        </w:rPr>
        <w:lastRenderedPageBreak/>
        <w:t>- personal remuneration: PLN xxx; personal remuneration financed from a subjective subsidy;</w:t>
      </w:r>
    </w:p>
    <w:p w14:paraId="2606942C" w14:textId="77777777" w:rsidR="00525C62" w:rsidRDefault="00525C62" w:rsidP="00525C62">
      <w:pPr>
        <w:tabs>
          <w:tab w:val="left" w:pos="426"/>
        </w:tabs>
        <w:spacing w:after="0" w:line="276" w:lineRule="auto"/>
        <w:ind w:left="765"/>
        <w:contextualSpacing/>
        <w:jc w:val="both"/>
        <w:rPr>
          <w:rFonts w:ascii="Arial" w:eastAsia="Times New Roman" w:hAnsi="Arial" w:cs="Arial"/>
          <w:lang w:val="en-US" w:eastAsia="pl-PL"/>
        </w:rPr>
      </w:pPr>
      <w:r>
        <w:rPr>
          <w:rFonts w:ascii="Arial" w:eastAsia="Arial" w:hAnsi="Arial" w:cs="Arial"/>
          <w:lang w:val="en-US" w:eastAsia="pl-PL" w:bidi="en-US"/>
        </w:rPr>
        <w:t xml:space="preserve">- non-personal remuneration: PLN xxx; remuneration of MRA Board members, remuneration of experts evaluating applications for co-financing, performing: substantive assessment of periodic and final reports, substantive assessment </w:t>
      </w:r>
      <w:r>
        <w:rPr>
          <w:rFonts w:ascii="Arial" w:eastAsia="Arial" w:hAnsi="Arial" w:cs="Arial"/>
          <w:lang w:val="en-US" w:eastAsia="pl-PL" w:bidi="en-US"/>
        </w:rPr>
        <w:br/>
        <w:t>of project implementation control, substantive assessment of international projects, substantive assessment of applications in connection with filing protests.</w:t>
      </w:r>
    </w:p>
    <w:p w14:paraId="656F165A" w14:textId="77777777" w:rsidR="00525C62" w:rsidRDefault="00525C62" w:rsidP="00525C62">
      <w:pPr>
        <w:tabs>
          <w:tab w:val="left" w:pos="426"/>
        </w:tabs>
        <w:spacing w:after="0" w:line="276" w:lineRule="auto"/>
        <w:ind w:left="765"/>
        <w:contextualSpacing/>
        <w:jc w:val="both"/>
        <w:rPr>
          <w:rFonts w:ascii="Arial" w:eastAsia="Times New Roman" w:hAnsi="Arial" w:cs="Arial"/>
          <w:lang w:val="en-US" w:eastAsia="pl-PL"/>
        </w:rPr>
      </w:pPr>
      <w:r>
        <w:rPr>
          <w:rFonts w:ascii="Arial" w:eastAsia="Arial" w:hAnsi="Arial" w:cs="Arial"/>
          <w:lang w:val="en-US" w:eastAsia="pl-PL" w:bidi="en-US"/>
        </w:rPr>
        <w:t>(including: non-personal remunerations of the POWER project: PLN xxx)</w:t>
      </w:r>
    </w:p>
    <w:p w14:paraId="71B967A3" w14:textId="77777777" w:rsidR="00525C62" w:rsidRDefault="00525C62" w:rsidP="00525C62">
      <w:pPr>
        <w:numPr>
          <w:ilvl w:val="0"/>
          <w:numId w:val="3"/>
        </w:numPr>
        <w:tabs>
          <w:tab w:val="left" w:pos="426"/>
        </w:tabs>
        <w:spacing w:line="276" w:lineRule="auto"/>
        <w:contextualSpacing/>
        <w:jc w:val="both"/>
        <w:rPr>
          <w:rFonts w:ascii="Arial" w:eastAsia="Times New Roman" w:hAnsi="Arial" w:cs="Arial"/>
          <w:lang w:val="en-US" w:eastAsia="pl-PL"/>
        </w:rPr>
      </w:pPr>
      <w:r>
        <w:rPr>
          <w:rFonts w:ascii="Arial" w:eastAsia="Arial" w:hAnsi="Arial" w:cs="Arial"/>
          <w:lang w:val="en-US" w:eastAsia="pl-PL" w:bidi="en-US"/>
        </w:rPr>
        <w:t>Benefits for natural persons: PLN xxx.</w:t>
      </w:r>
    </w:p>
    <w:p w14:paraId="70C9DC76" w14:textId="77777777" w:rsidR="00525C62" w:rsidRDefault="00525C62" w:rsidP="00525C62">
      <w:pPr>
        <w:numPr>
          <w:ilvl w:val="0"/>
          <w:numId w:val="3"/>
        </w:numPr>
        <w:tabs>
          <w:tab w:val="left" w:pos="426"/>
        </w:tabs>
        <w:spacing w:line="276" w:lineRule="auto"/>
        <w:contextualSpacing/>
        <w:jc w:val="both"/>
        <w:rPr>
          <w:rFonts w:ascii="Arial" w:eastAsia="Times New Roman" w:hAnsi="Arial" w:cs="Arial"/>
          <w:lang w:val="en-US" w:eastAsia="pl-PL"/>
        </w:rPr>
      </w:pPr>
      <w:r>
        <w:rPr>
          <w:rFonts w:ascii="Arial" w:eastAsia="Arial" w:hAnsi="Arial" w:cs="Arial"/>
          <w:lang w:val="en-US" w:eastAsia="pl-PL" w:bidi="en-US"/>
        </w:rPr>
        <w:t xml:space="preserve">Social insurance and </w:t>
      </w:r>
      <w:proofErr w:type="spellStart"/>
      <w:r>
        <w:rPr>
          <w:rFonts w:ascii="Arial" w:eastAsia="Arial" w:hAnsi="Arial" w:cs="Arial"/>
          <w:lang w:val="en-US" w:eastAsia="pl-PL" w:bidi="en-US"/>
        </w:rPr>
        <w:t>Labour</w:t>
      </w:r>
      <w:proofErr w:type="spellEnd"/>
      <w:r>
        <w:rPr>
          <w:rFonts w:ascii="Arial" w:eastAsia="Arial" w:hAnsi="Arial" w:cs="Arial"/>
          <w:lang w:val="en-US" w:eastAsia="pl-PL" w:bidi="en-US"/>
        </w:rPr>
        <w:t xml:space="preserve"> Fund contributions, contributions to employee capital plans: PLN xxx; the item is a result of planned remuneration costs of obligatory social insurance and </w:t>
      </w:r>
      <w:proofErr w:type="spellStart"/>
      <w:r>
        <w:rPr>
          <w:rFonts w:ascii="Arial" w:eastAsia="Arial" w:hAnsi="Arial" w:cs="Arial"/>
          <w:lang w:val="en-US" w:eastAsia="pl-PL" w:bidi="en-US"/>
        </w:rPr>
        <w:t>Labour</w:t>
      </w:r>
      <w:proofErr w:type="spellEnd"/>
      <w:r>
        <w:rPr>
          <w:rFonts w:ascii="Arial" w:eastAsia="Arial" w:hAnsi="Arial" w:cs="Arial"/>
          <w:lang w:val="en-US" w:eastAsia="pl-PL" w:bidi="en-US"/>
        </w:rPr>
        <w:t xml:space="preserve"> Fund contributions, as well as contributions to employee capital plans since 2021.</w:t>
      </w:r>
    </w:p>
    <w:p w14:paraId="0B1B8BA3" w14:textId="77777777" w:rsidR="00525C62" w:rsidRDefault="00525C62" w:rsidP="00525C62">
      <w:pPr>
        <w:numPr>
          <w:ilvl w:val="0"/>
          <w:numId w:val="3"/>
        </w:numPr>
        <w:tabs>
          <w:tab w:val="left" w:pos="426"/>
        </w:tabs>
        <w:spacing w:line="276" w:lineRule="auto"/>
        <w:contextualSpacing/>
        <w:jc w:val="both"/>
        <w:rPr>
          <w:rFonts w:ascii="Arial" w:eastAsia="Times New Roman" w:hAnsi="Arial" w:cs="Arial"/>
          <w:lang w:val="en-US" w:eastAsia="pl-PL"/>
        </w:rPr>
      </w:pPr>
      <w:r>
        <w:rPr>
          <w:rFonts w:ascii="Arial" w:eastAsia="Arial" w:hAnsi="Arial" w:cs="Arial"/>
          <w:lang w:val="en-US" w:eastAsia="pl-PL" w:bidi="en-US"/>
        </w:rPr>
        <w:t>Other operating costs: PLN xxx; the item includes financial resources planned to cover the costs of the following:</w:t>
      </w:r>
    </w:p>
    <w:p w14:paraId="3AC8ADED" w14:textId="77777777" w:rsidR="00525C62" w:rsidRDefault="00525C62" w:rsidP="00525C62">
      <w:pPr>
        <w:numPr>
          <w:ilvl w:val="0"/>
          <w:numId w:val="5"/>
        </w:numPr>
        <w:tabs>
          <w:tab w:val="left" w:pos="426"/>
        </w:tabs>
        <w:spacing w:line="276" w:lineRule="auto"/>
        <w:contextualSpacing/>
        <w:jc w:val="both"/>
        <w:rPr>
          <w:rFonts w:ascii="Arial" w:eastAsia="Times New Roman" w:hAnsi="Arial" w:cs="Arial"/>
          <w:lang w:val="en-US" w:eastAsia="pl-PL"/>
        </w:rPr>
      </w:pPr>
      <w:r>
        <w:rPr>
          <w:rFonts w:ascii="Arial" w:eastAsia="Arial" w:hAnsi="Arial" w:cs="Arial"/>
          <w:lang w:val="en-US" w:eastAsia="pl-PL" w:bidi="en-US"/>
        </w:rPr>
        <w:t>domestic and foreign business trips, including study visits of Agency employees to international institutions with similar tasks, participation in international conferences, short-term inspections of projects;</w:t>
      </w:r>
    </w:p>
    <w:p w14:paraId="3FC54267" w14:textId="77777777" w:rsidR="00525C62" w:rsidRDefault="00525C62" w:rsidP="00525C62">
      <w:pPr>
        <w:numPr>
          <w:ilvl w:val="0"/>
          <w:numId w:val="5"/>
        </w:numPr>
        <w:tabs>
          <w:tab w:val="left" w:pos="426"/>
        </w:tabs>
        <w:spacing w:line="276" w:lineRule="auto"/>
        <w:contextualSpacing/>
        <w:jc w:val="both"/>
        <w:rPr>
          <w:rFonts w:ascii="Arial" w:eastAsia="Times New Roman" w:hAnsi="Arial" w:cs="Arial"/>
          <w:lang w:val="en-US" w:eastAsia="pl-PL"/>
        </w:rPr>
      </w:pPr>
      <w:r>
        <w:rPr>
          <w:rFonts w:ascii="Arial" w:eastAsia="Arial" w:hAnsi="Arial" w:cs="Arial"/>
          <w:lang w:val="en-US" w:eastAsia="pl-PL" w:bidi="en-US"/>
        </w:rPr>
        <w:t>allocation to the Company Social Benefits Fund;</w:t>
      </w:r>
    </w:p>
    <w:p w14:paraId="0D913313" w14:textId="77777777" w:rsidR="00525C62" w:rsidRDefault="00525C62" w:rsidP="00525C62">
      <w:pPr>
        <w:numPr>
          <w:ilvl w:val="0"/>
          <w:numId w:val="5"/>
        </w:numPr>
        <w:tabs>
          <w:tab w:val="left" w:pos="426"/>
        </w:tabs>
        <w:spacing w:line="276" w:lineRule="auto"/>
        <w:contextualSpacing/>
        <w:jc w:val="both"/>
        <w:rPr>
          <w:rFonts w:ascii="Arial" w:eastAsia="Times New Roman" w:hAnsi="Arial" w:cs="Arial"/>
          <w:lang w:val="en-US" w:eastAsia="pl-PL"/>
        </w:rPr>
      </w:pPr>
      <w:r>
        <w:rPr>
          <w:rFonts w:ascii="Arial" w:eastAsia="Arial" w:hAnsi="Arial" w:cs="Arial"/>
          <w:lang w:val="en-US" w:eastAsia="pl-PL" w:bidi="en-US"/>
        </w:rPr>
        <w:t>training of the Agency’s employees and raising qualifications;</w:t>
      </w:r>
    </w:p>
    <w:p w14:paraId="16612896" w14:textId="77777777" w:rsidR="00525C62" w:rsidRDefault="00525C62" w:rsidP="00525C62">
      <w:pPr>
        <w:numPr>
          <w:ilvl w:val="0"/>
          <w:numId w:val="5"/>
        </w:numPr>
        <w:tabs>
          <w:tab w:val="left" w:pos="426"/>
        </w:tabs>
        <w:spacing w:line="276" w:lineRule="auto"/>
        <w:contextualSpacing/>
        <w:jc w:val="both"/>
        <w:rPr>
          <w:rFonts w:ascii="Arial" w:eastAsia="Times New Roman" w:hAnsi="Arial" w:cs="Arial"/>
          <w:lang w:val="en-US" w:eastAsia="pl-PL"/>
        </w:rPr>
      </w:pPr>
      <w:r>
        <w:rPr>
          <w:rFonts w:ascii="Arial" w:eastAsia="Arial" w:hAnsi="Arial" w:cs="Arial"/>
          <w:lang w:val="en-US" w:eastAsia="pl-PL" w:bidi="en-US"/>
        </w:rPr>
        <w:t>costs of occupational medicine and other benefits for employees;</w:t>
      </w:r>
    </w:p>
    <w:p w14:paraId="285EBD50" w14:textId="77777777" w:rsidR="00525C62" w:rsidRDefault="00525C62" w:rsidP="00525C62">
      <w:pPr>
        <w:numPr>
          <w:ilvl w:val="0"/>
          <w:numId w:val="5"/>
        </w:numPr>
        <w:tabs>
          <w:tab w:val="left" w:pos="426"/>
        </w:tabs>
        <w:spacing w:line="276" w:lineRule="auto"/>
        <w:contextualSpacing/>
        <w:jc w:val="both"/>
        <w:rPr>
          <w:rFonts w:ascii="Arial" w:eastAsia="Times New Roman" w:hAnsi="Arial" w:cs="Arial"/>
          <w:lang w:val="en-US" w:eastAsia="pl-PL"/>
        </w:rPr>
      </w:pPr>
      <w:r>
        <w:rPr>
          <w:rFonts w:ascii="Arial" w:eastAsia="Arial" w:hAnsi="Arial" w:cs="Arial"/>
          <w:lang w:val="en-US" w:eastAsia="pl-PL" w:bidi="en-US"/>
        </w:rPr>
        <w:t>travel and accommodation costs of MRA Board members;</w:t>
      </w:r>
    </w:p>
    <w:p w14:paraId="55917017" w14:textId="77777777" w:rsidR="00525C62" w:rsidRDefault="00525C62" w:rsidP="00525C62">
      <w:pPr>
        <w:numPr>
          <w:ilvl w:val="0"/>
          <w:numId w:val="5"/>
        </w:numPr>
        <w:tabs>
          <w:tab w:val="left" w:pos="426"/>
        </w:tabs>
        <w:spacing w:line="276" w:lineRule="auto"/>
        <w:contextualSpacing/>
        <w:jc w:val="both"/>
        <w:rPr>
          <w:rFonts w:ascii="Arial" w:eastAsia="Times New Roman" w:hAnsi="Arial" w:cs="Arial"/>
          <w:lang w:eastAsia="pl-PL"/>
        </w:rPr>
      </w:pPr>
      <w:proofErr w:type="spellStart"/>
      <w:r>
        <w:rPr>
          <w:rFonts w:ascii="Arial" w:eastAsia="Arial" w:hAnsi="Arial" w:cs="Arial"/>
          <w:lang w:eastAsia="pl-PL" w:bidi="en-US"/>
        </w:rPr>
        <w:t>other</w:t>
      </w:r>
      <w:proofErr w:type="spellEnd"/>
      <w:r>
        <w:rPr>
          <w:rFonts w:ascii="Arial" w:eastAsia="Arial" w:hAnsi="Arial" w:cs="Arial"/>
          <w:lang w:eastAsia="pl-PL" w:bidi="en-US"/>
        </w:rPr>
        <w:t xml:space="preserve"> POWER </w:t>
      </w:r>
      <w:proofErr w:type="spellStart"/>
      <w:r>
        <w:rPr>
          <w:rFonts w:ascii="Arial" w:eastAsia="Arial" w:hAnsi="Arial" w:cs="Arial"/>
          <w:lang w:eastAsia="pl-PL" w:bidi="en-US"/>
        </w:rPr>
        <w:t>project</w:t>
      </w:r>
      <w:proofErr w:type="spellEnd"/>
      <w:r>
        <w:rPr>
          <w:rFonts w:ascii="Arial" w:eastAsia="Arial" w:hAnsi="Arial" w:cs="Arial"/>
          <w:lang w:eastAsia="pl-PL" w:bidi="en-US"/>
        </w:rPr>
        <w:t xml:space="preserve"> </w:t>
      </w:r>
      <w:proofErr w:type="spellStart"/>
      <w:r>
        <w:rPr>
          <w:rFonts w:ascii="Arial" w:eastAsia="Arial" w:hAnsi="Arial" w:cs="Arial"/>
          <w:lang w:eastAsia="pl-PL" w:bidi="en-US"/>
        </w:rPr>
        <w:t>costs</w:t>
      </w:r>
      <w:proofErr w:type="spellEnd"/>
      <w:r>
        <w:rPr>
          <w:rFonts w:ascii="Arial" w:eastAsia="Arial" w:hAnsi="Arial" w:cs="Arial"/>
          <w:lang w:eastAsia="pl-PL" w:bidi="en-US"/>
        </w:rPr>
        <w:t>.</w:t>
      </w:r>
    </w:p>
    <w:p w14:paraId="47860DE1" w14:textId="77777777" w:rsidR="00525C62" w:rsidRDefault="00525C62" w:rsidP="00525C62">
      <w:pPr>
        <w:numPr>
          <w:ilvl w:val="0"/>
          <w:numId w:val="2"/>
        </w:numPr>
        <w:tabs>
          <w:tab w:val="left" w:pos="426"/>
        </w:tabs>
        <w:spacing w:line="276" w:lineRule="auto"/>
        <w:contextualSpacing/>
        <w:jc w:val="both"/>
        <w:rPr>
          <w:rFonts w:ascii="Arial" w:eastAsia="Times New Roman" w:hAnsi="Arial" w:cs="Arial"/>
          <w:b/>
          <w:lang w:val="en-US" w:eastAsia="pl-PL"/>
        </w:rPr>
      </w:pPr>
      <w:r>
        <w:rPr>
          <w:rFonts w:ascii="Arial" w:eastAsia="Arial" w:hAnsi="Arial" w:cs="Arial"/>
          <w:b/>
          <w:lang w:val="en-US" w:eastAsia="pl-PL" w:bidi="en-US"/>
        </w:rPr>
        <w:t>Costs of task implementation, including funds transferred to other entities have been planned in the amount of PLN xxx</w:t>
      </w:r>
      <w:r>
        <w:rPr>
          <w:rFonts w:ascii="Arial" w:eastAsia="Arial" w:hAnsi="Arial" w:cs="Arial"/>
          <w:lang w:val="en-US" w:eastAsia="pl-PL" w:bidi="en-US"/>
        </w:rPr>
        <w:t>, and will be used to co-finance the tasks referred to in Art. 15 Section 1 and 2 of the Act on Medical Research Agency of 21 February 2019. (Journal of Laws of 2019, item 447, as amended).</w:t>
      </w:r>
    </w:p>
    <w:p w14:paraId="7CCF3D50" w14:textId="77777777" w:rsidR="00525C62" w:rsidRDefault="00525C62" w:rsidP="00525C62">
      <w:pPr>
        <w:tabs>
          <w:tab w:val="left" w:pos="426"/>
        </w:tabs>
        <w:spacing w:line="276" w:lineRule="auto"/>
        <w:jc w:val="both"/>
        <w:rPr>
          <w:rFonts w:ascii="Arial" w:eastAsia="Arial" w:hAnsi="Arial" w:cs="Arial"/>
          <w:lang w:val="en-US" w:bidi="en-US"/>
        </w:rPr>
      </w:pPr>
      <w:r>
        <w:rPr>
          <w:rFonts w:ascii="Arial" w:eastAsia="Arial" w:hAnsi="Arial" w:cs="Arial"/>
          <w:lang w:val="en-US" w:bidi="en-US"/>
        </w:rPr>
        <w:t xml:space="preserve">Moreover, the Medical Research Agency has planned the </w:t>
      </w:r>
      <w:r>
        <w:rPr>
          <w:rFonts w:ascii="Arial" w:eastAsia="Arial" w:hAnsi="Arial" w:cs="Arial"/>
          <w:b/>
          <w:lang w:val="en-US" w:bidi="en-US"/>
        </w:rPr>
        <w:t xml:space="preserve">Funds for property expenses in the amount of PLN xxx </w:t>
      </w:r>
      <w:r>
        <w:rPr>
          <w:rFonts w:ascii="Arial" w:eastAsia="Arial" w:hAnsi="Arial" w:cs="Arial"/>
          <w:lang w:val="en-US" w:bidi="en-US"/>
        </w:rPr>
        <w:t xml:space="preserve">in its financial plan, which will be dedicated to new modules for the OPI IT system and for the clinical study search engine. </w:t>
      </w:r>
    </w:p>
    <w:p w14:paraId="35701854" w14:textId="77777777" w:rsidR="00525C62" w:rsidRDefault="00525C62" w:rsidP="00525C62">
      <w:pPr>
        <w:tabs>
          <w:tab w:val="left" w:pos="426"/>
        </w:tabs>
        <w:spacing w:line="276" w:lineRule="auto"/>
        <w:jc w:val="both"/>
        <w:rPr>
          <w:rFonts w:ascii="Arial" w:hAnsi="Arial" w:cs="Arial"/>
          <w:lang w:val="en-US"/>
        </w:rPr>
      </w:pPr>
      <w:r>
        <w:rPr>
          <w:rFonts w:ascii="Arial" w:hAnsi="Arial" w:cs="Arial"/>
          <w:lang w:val="en-US"/>
        </w:rPr>
        <w:t xml:space="preserve">Notwithstanding the above, referring to the request for an opinion on amendments in the annual financial plan of the Medical Research Agency for 2020 of November 17, 2020 I would like to inform you that due to the information provided by the Ministry of Health regarding changes in the financial plan for 2020 - there is no need to transfer from the cost item under the purposeful subsidy The costs of the implementation of tasks, including funds transferred to other entities of financial resources to the item Funds for capital expenditure in the amount of PLN xxx thousand. </w:t>
      </w:r>
    </w:p>
    <w:p w14:paraId="28622882" w14:textId="77777777" w:rsidR="00525C62" w:rsidRDefault="00525C62" w:rsidP="00525C62">
      <w:pPr>
        <w:tabs>
          <w:tab w:val="left" w:pos="426"/>
        </w:tabs>
        <w:spacing w:line="276" w:lineRule="auto"/>
        <w:jc w:val="both"/>
        <w:rPr>
          <w:rFonts w:ascii="Arial" w:hAnsi="Arial" w:cs="Arial"/>
          <w:lang w:val="en-US"/>
        </w:rPr>
      </w:pPr>
      <w:r>
        <w:rPr>
          <w:rFonts w:ascii="Arial" w:hAnsi="Arial" w:cs="Arial"/>
          <w:lang w:val="en-US"/>
        </w:rPr>
        <w:t>The Agency will be entitled to finance property expenses, i.e. equipping the conference room and modernizing the ICT system referred to in art. 21 of the Act of February 21, 2019 on the Medical Research Agency without the need to make the indicated transfer.</w:t>
      </w:r>
    </w:p>
    <w:p w14:paraId="58B8BC78" w14:textId="77777777" w:rsidR="00525C62" w:rsidRDefault="00525C62" w:rsidP="00525C62">
      <w:pPr>
        <w:tabs>
          <w:tab w:val="left" w:pos="426"/>
        </w:tabs>
        <w:spacing w:line="276" w:lineRule="auto"/>
        <w:jc w:val="both"/>
        <w:rPr>
          <w:rFonts w:ascii="Arial" w:hAnsi="Arial" w:cs="Arial"/>
          <w:lang w:val="en-US"/>
        </w:rPr>
      </w:pPr>
      <w:r>
        <w:rPr>
          <w:rFonts w:ascii="Arial" w:hAnsi="Arial" w:cs="Arial"/>
          <w:lang w:val="en-US"/>
        </w:rPr>
        <w:t>Currently, the change of the financial plan for 2020 will concern only the transfer between the operating costs of funds from the item Other operating costs to the item Depreciation of the amount of PLN xxx thousand.</w:t>
      </w:r>
    </w:p>
    <w:p w14:paraId="42233F1B" w14:textId="77777777" w:rsidR="00525C62" w:rsidRDefault="00525C62" w:rsidP="00525C62">
      <w:pPr>
        <w:pStyle w:val="Nagwek1"/>
        <w:numPr>
          <w:ilvl w:val="0"/>
          <w:numId w:val="0"/>
        </w:numPr>
        <w:spacing w:before="240"/>
        <w:jc w:val="both"/>
        <w:rPr>
          <w:rFonts w:eastAsiaTheme="minorHAnsi" w:cs="Arial"/>
          <w:w w:val="100"/>
          <w:sz w:val="22"/>
          <w:szCs w:val="22"/>
          <w:lang w:val="en-US" w:eastAsia="en-US"/>
        </w:rPr>
      </w:pPr>
      <w:bookmarkStart w:id="1" w:name="_Hlk70622346"/>
      <w:r>
        <w:rPr>
          <w:rFonts w:eastAsiaTheme="minorHAnsi" w:cs="Arial"/>
          <w:w w:val="100"/>
          <w:sz w:val="22"/>
          <w:szCs w:val="22"/>
          <w:lang w:val="en-US" w:eastAsia="en-US"/>
        </w:rPr>
        <w:lastRenderedPageBreak/>
        <w:t>One of the competitions organized by the Agency concerns adoptive therapies (CAR/CAR-T).</w:t>
      </w:r>
    </w:p>
    <w:p w14:paraId="5D38BDC8" w14:textId="77777777" w:rsidR="00525C62" w:rsidRDefault="00525C62" w:rsidP="00525C62">
      <w:pPr>
        <w:pStyle w:val="Nagwek1"/>
        <w:numPr>
          <w:ilvl w:val="0"/>
          <w:numId w:val="0"/>
        </w:numPr>
        <w:spacing w:before="240"/>
        <w:jc w:val="both"/>
        <w:rPr>
          <w:rFonts w:eastAsiaTheme="minorHAnsi" w:cs="Arial"/>
          <w:w w:val="100"/>
          <w:sz w:val="22"/>
          <w:szCs w:val="22"/>
          <w:u w:val="single"/>
          <w:lang w:val="en-US" w:eastAsia="en-US"/>
        </w:rPr>
      </w:pPr>
      <w:r>
        <w:rPr>
          <w:rFonts w:eastAsiaTheme="minorHAnsi" w:cs="Arial"/>
          <w:w w:val="100"/>
          <w:sz w:val="22"/>
          <w:szCs w:val="22"/>
          <w:u w:val="single"/>
          <w:lang w:val="en-US" w:eastAsia="en-US"/>
        </w:rPr>
        <w:t>Grounds for the competition</w:t>
      </w:r>
    </w:p>
    <w:p w14:paraId="64D58CBA" w14:textId="77777777" w:rsidR="00525C62" w:rsidRDefault="00525C62" w:rsidP="00525C62">
      <w:pPr>
        <w:tabs>
          <w:tab w:val="left" w:pos="426"/>
        </w:tabs>
        <w:spacing w:before="240" w:after="0" w:line="276" w:lineRule="auto"/>
        <w:jc w:val="both"/>
        <w:rPr>
          <w:rFonts w:ascii="Arial" w:hAnsi="Arial" w:cs="Arial"/>
          <w:lang w:val="en-US"/>
        </w:rPr>
      </w:pPr>
      <w:r>
        <w:rPr>
          <w:rFonts w:ascii="Arial" w:hAnsi="Arial" w:cs="Arial"/>
          <w:lang w:val="en-US"/>
        </w:rPr>
        <w:t xml:space="preserve">Adoptive therapies (CAR/CAR-T) </w:t>
      </w:r>
      <w:bookmarkEnd w:id="1"/>
      <w:r>
        <w:rPr>
          <w:rFonts w:ascii="Arial" w:hAnsi="Arial" w:cs="Arial"/>
          <w:lang w:val="en-US"/>
        </w:rPr>
        <w:t xml:space="preserve">using the potential of genetically modified immunocompetent cells (T-cells, NK cells, and others) represent an extremely promising therapeutic tool for cancer patients. So far, oncology has achieved significant successes in the fight against cancer thanks to the use of chemotherapy and radiotherapy, however, in many cases the therapeutic effect is unsatisfactory or temporary. In recent years, adoptive therapy using modified immunocompetent cells (CAR-T) has become an extremely attractive alternative, showing high efficiency in the treatment of patients in the terminal stage of </w:t>
      </w:r>
      <w:proofErr w:type="spellStart"/>
      <w:r>
        <w:rPr>
          <w:rFonts w:ascii="Arial" w:hAnsi="Arial" w:cs="Arial"/>
          <w:lang w:val="en-US"/>
        </w:rPr>
        <w:t>haematological</w:t>
      </w:r>
      <w:proofErr w:type="spellEnd"/>
      <w:r>
        <w:rPr>
          <w:rFonts w:ascii="Arial" w:hAnsi="Arial" w:cs="Arial"/>
          <w:lang w:val="en-US"/>
        </w:rPr>
        <w:t xml:space="preserve"> malignancies. This type of therapy seems to be one of the biggest breakthroughs in oncology since the introduction of chemotherapy. At the same time, the potential of adoptive therapies is not limited to blood cancers. Currently, there is an intensive growth of research aimed at using the potential of CAR-T in the treatment of solid </w:t>
      </w:r>
      <w:proofErr w:type="spellStart"/>
      <w:r>
        <w:rPr>
          <w:rFonts w:ascii="Arial" w:hAnsi="Arial" w:cs="Arial"/>
          <w:lang w:val="en-US"/>
        </w:rPr>
        <w:t>tumours</w:t>
      </w:r>
      <w:proofErr w:type="spellEnd"/>
      <w:r>
        <w:rPr>
          <w:rFonts w:ascii="Arial" w:hAnsi="Arial" w:cs="Arial"/>
          <w:lang w:val="en-US"/>
        </w:rPr>
        <w:t>, autoimmune diseases and even infectious diseases. Some of the benefits of adoptive CAR/CAR-T therapies include:</w:t>
      </w:r>
    </w:p>
    <w:p w14:paraId="6F84AB10" w14:textId="77777777" w:rsidR="00525C62" w:rsidRDefault="00525C62" w:rsidP="00525C62">
      <w:pPr>
        <w:pStyle w:val="Akapitzlist"/>
        <w:numPr>
          <w:ilvl w:val="0"/>
          <w:numId w:val="6"/>
        </w:numPr>
        <w:tabs>
          <w:tab w:val="left" w:pos="426"/>
        </w:tabs>
        <w:spacing w:after="0" w:line="276" w:lineRule="auto"/>
        <w:jc w:val="both"/>
        <w:rPr>
          <w:rFonts w:ascii="Arial" w:hAnsi="Arial" w:cs="Arial"/>
          <w:lang w:val="en-US"/>
        </w:rPr>
      </w:pPr>
      <w:r>
        <w:rPr>
          <w:rFonts w:ascii="Arial" w:hAnsi="Arial" w:cs="Arial"/>
          <w:lang w:val="en-US"/>
        </w:rPr>
        <w:t>an additional therapeutic option for patients for whom the current standard therapeutic procedures do not bring the expected results,</w:t>
      </w:r>
    </w:p>
    <w:p w14:paraId="4FA36971" w14:textId="77777777" w:rsidR="00525C62" w:rsidRDefault="00525C62" w:rsidP="00525C62">
      <w:pPr>
        <w:pStyle w:val="Akapitzlist"/>
        <w:numPr>
          <w:ilvl w:val="0"/>
          <w:numId w:val="6"/>
        </w:numPr>
        <w:tabs>
          <w:tab w:val="left" w:pos="426"/>
        </w:tabs>
        <w:spacing w:after="0" w:line="276" w:lineRule="auto"/>
        <w:jc w:val="both"/>
        <w:rPr>
          <w:rFonts w:ascii="Arial" w:hAnsi="Arial" w:cs="Arial"/>
          <w:lang w:val="en-US"/>
        </w:rPr>
      </w:pPr>
      <w:r>
        <w:rPr>
          <w:rFonts w:ascii="Arial" w:hAnsi="Arial" w:cs="Arial"/>
          <w:lang w:val="en-US"/>
        </w:rPr>
        <w:t>the possibility of treating neoplasms that do not respond to chemotherapy, even in palliative patients,</w:t>
      </w:r>
    </w:p>
    <w:p w14:paraId="4B10EBCB" w14:textId="77777777" w:rsidR="00525C62" w:rsidRDefault="00525C62" w:rsidP="00525C62">
      <w:pPr>
        <w:pStyle w:val="Akapitzlist"/>
        <w:numPr>
          <w:ilvl w:val="0"/>
          <w:numId w:val="6"/>
        </w:numPr>
        <w:tabs>
          <w:tab w:val="left" w:pos="426"/>
        </w:tabs>
        <w:spacing w:after="0" w:line="276" w:lineRule="auto"/>
        <w:jc w:val="both"/>
        <w:rPr>
          <w:rFonts w:ascii="Arial" w:hAnsi="Arial" w:cs="Arial"/>
          <w:lang w:val="en-US"/>
        </w:rPr>
      </w:pPr>
      <w:r>
        <w:rPr>
          <w:rFonts w:ascii="Arial" w:hAnsi="Arial" w:cs="Arial"/>
          <w:lang w:val="en-US"/>
        </w:rPr>
        <w:t>the possibility of complete recovery of patient from neoplastic disease - lifelong remission,</w:t>
      </w:r>
    </w:p>
    <w:p w14:paraId="6332991F" w14:textId="77777777" w:rsidR="00525C62" w:rsidRDefault="00525C62" w:rsidP="00525C62">
      <w:pPr>
        <w:pStyle w:val="Akapitzlist"/>
        <w:numPr>
          <w:ilvl w:val="0"/>
          <w:numId w:val="6"/>
        </w:numPr>
        <w:tabs>
          <w:tab w:val="left" w:pos="426"/>
        </w:tabs>
        <w:spacing w:after="0" w:line="276" w:lineRule="auto"/>
        <w:jc w:val="both"/>
        <w:rPr>
          <w:rFonts w:ascii="Arial" w:hAnsi="Arial" w:cs="Arial"/>
          <w:lang w:val="en-US"/>
        </w:rPr>
      </w:pPr>
      <w:r>
        <w:rPr>
          <w:rFonts w:ascii="Arial" w:hAnsi="Arial" w:cs="Arial"/>
          <w:lang w:val="en-US"/>
        </w:rPr>
        <w:t>the possibility of restoring the patient’s efficient functioning in society following one-time treatment,</w:t>
      </w:r>
    </w:p>
    <w:p w14:paraId="272913F4" w14:textId="77777777" w:rsidR="00525C62" w:rsidRDefault="00525C62" w:rsidP="00525C62">
      <w:pPr>
        <w:pStyle w:val="Akapitzlist"/>
        <w:numPr>
          <w:ilvl w:val="0"/>
          <w:numId w:val="6"/>
        </w:numPr>
        <w:tabs>
          <w:tab w:val="left" w:pos="426"/>
        </w:tabs>
        <w:spacing w:after="0" w:line="276" w:lineRule="auto"/>
        <w:jc w:val="both"/>
        <w:rPr>
          <w:rFonts w:ascii="Arial" w:hAnsi="Arial" w:cs="Arial"/>
          <w:lang w:val="en-US"/>
        </w:rPr>
      </w:pPr>
      <w:r>
        <w:rPr>
          <w:rFonts w:ascii="Arial" w:hAnsi="Arial" w:cs="Arial"/>
          <w:lang w:val="en-US"/>
        </w:rPr>
        <w:t>faster recovery of patients.</w:t>
      </w:r>
    </w:p>
    <w:p w14:paraId="6DEF3B60" w14:textId="77777777" w:rsidR="00525C62" w:rsidRDefault="00525C62" w:rsidP="00525C62">
      <w:pPr>
        <w:tabs>
          <w:tab w:val="left" w:pos="426"/>
        </w:tabs>
        <w:spacing w:after="0" w:line="276" w:lineRule="auto"/>
        <w:jc w:val="both"/>
        <w:rPr>
          <w:rFonts w:ascii="Arial" w:hAnsi="Arial" w:cs="Arial"/>
          <w:lang w:val="en-US"/>
        </w:rPr>
      </w:pPr>
      <w:r>
        <w:rPr>
          <w:rFonts w:ascii="Arial" w:hAnsi="Arial" w:cs="Arial"/>
          <w:lang w:val="en-US"/>
        </w:rPr>
        <w:t>In Poland, the existing potential in the area of therapeutic application of adoptive therapies is not fully utilized and Polish patients do not have access to the currently most promising adoptive therapy. The main reasons for this phenomenon are the very high cost of this type of treatment, but also stringent requirements for medical entities offering this type of therapy.</w:t>
      </w:r>
    </w:p>
    <w:p w14:paraId="0DC5B383" w14:textId="77777777" w:rsidR="00525C62" w:rsidRDefault="00525C62" w:rsidP="00525C62">
      <w:pPr>
        <w:pStyle w:val="Nagwek1"/>
        <w:numPr>
          <w:ilvl w:val="0"/>
          <w:numId w:val="0"/>
        </w:numPr>
        <w:tabs>
          <w:tab w:val="left" w:pos="426"/>
        </w:tabs>
        <w:spacing w:before="120" w:after="120" w:line="276" w:lineRule="auto"/>
        <w:jc w:val="both"/>
        <w:rPr>
          <w:rFonts w:eastAsiaTheme="minorHAnsi" w:cs="Arial"/>
          <w:w w:val="100"/>
          <w:sz w:val="22"/>
          <w:szCs w:val="22"/>
          <w:u w:val="single"/>
          <w:lang w:val="en-US" w:eastAsia="en-US"/>
        </w:rPr>
      </w:pPr>
      <w:r>
        <w:rPr>
          <w:rFonts w:eastAsiaTheme="minorHAnsi" w:cs="Arial"/>
          <w:w w:val="100"/>
          <w:sz w:val="22"/>
          <w:szCs w:val="22"/>
          <w:u w:val="single"/>
          <w:lang w:val="en-US" w:eastAsia="en-US"/>
        </w:rPr>
        <w:t>Principles of Good Clinical Practice</w:t>
      </w:r>
    </w:p>
    <w:p w14:paraId="74844FC6" w14:textId="77777777" w:rsidR="00525C62" w:rsidRDefault="00525C62" w:rsidP="00525C62">
      <w:pPr>
        <w:tabs>
          <w:tab w:val="left" w:pos="426"/>
        </w:tabs>
        <w:spacing w:after="0" w:line="276" w:lineRule="auto"/>
        <w:jc w:val="both"/>
        <w:rPr>
          <w:rFonts w:ascii="Arial" w:hAnsi="Arial" w:cs="Arial"/>
          <w:lang w:val="en-US"/>
        </w:rPr>
      </w:pPr>
      <w:r>
        <w:rPr>
          <w:rFonts w:ascii="Arial" w:hAnsi="Arial" w:cs="Arial"/>
          <w:lang w:val="en-US"/>
        </w:rPr>
        <w:t>Clinical trials funded by the Medical Research Agency must be carried out in compliance with the principles of Good Clinical Practice (GCP), i.e.:</w:t>
      </w:r>
    </w:p>
    <w:p w14:paraId="12F55F0F" w14:textId="77777777" w:rsidR="00525C62" w:rsidRDefault="00525C62" w:rsidP="00525C62">
      <w:pPr>
        <w:pStyle w:val="Akapitzlist"/>
        <w:numPr>
          <w:ilvl w:val="0"/>
          <w:numId w:val="7"/>
        </w:numPr>
        <w:tabs>
          <w:tab w:val="left" w:pos="426"/>
        </w:tabs>
        <w:spacing w:after="0" w:line="276" w:lineRule="auto"/>
        <w:jc w:val="both"/>
        <w:rPr>
          <w:rFonts w:ascii="Arial" w:hAnsi="Arial" w:cs="Arial"/>
          <w:lang w:val="en-US"/>
        </w:rPr>
      </w:pPr>
      <w:r>
        <w:rPr>
          <w:rFonts w:ascii="Arial" w:hAnsi="Arial" w:cs="Arial"/>
          <w:lang w:val="en-US"/>
        </w:rPr>
        <w:t>Clinical trials should be conducted on the basis of ethical principles based on the Declaration of Helsinki and in line with GCP (Good Clinical Practice) recommendations and applicable law;</w:t>
      </w:r>
    </w:p>
    <w:p w14:paraId="6A4C8D4D" w14:textId="77777777" w:rsidR="00525C62" w:rsidRDefault="00525C62" w:rsidP="00525C62">
      <w:pPr>
        <w:pStyle w:val="Akapitzlist"/>
        <w:numPr>
          <w:ilvl w:val="0"/>
          <w:numId w:val="7"/>
        </w:numPr>
        <w:tabs>
          <w:tab w:val="left" w:pos="426"/>
        </w:tabs>
        <w:spacing w:after="0" w:line="276" w:lineRule="auto"/>
        <w:jc w:val="both"/>
        <w:rPr>
          <w:rFonts w:ascii="Arial" w:hAnsi="Arial" w:cs="Arial"/>
          <w:lang w:val="en-US"/>
        </w:rPr>
      </w:pPr>
      <w:r>
        <w:rPr>
          <w:rFonts w:ascii="Arial" w:hAnsi="Arial" w:cs="Arial"/>
          <w:lang w:val="en-US"/>
        </w:rPr>
        <w:t>Before commencing a clinical trial, potential risks and inconveniences in relation to expected benefits for a trial participant and society should be considered;</w:t>
      </w:r>
    </w:p>
    <w:p w14:paraId="15D5AE6C" w14:textId="77777777" w:rsidR="00525C62" w:rsidRDefault="00525C62" w:rsidP="00525C62">
      <w:pPr>
        <w:pStyle w:val="Akapitzlist"/>
        <w:numPr>
          <w:ilvl w:val="0"/>
          <w:numId w:val="7"/>
        </w:numPr>
        <w:tabs>
          <w:tab w:val="left" w:pos="426"/>
        </w:tabs>
        <w:spacing w:after="0" w:line="276" w:lineRule="auto"/>
        <w:jc w:val="both"/>
        <w:rPr>
          <w:rFonts w:ascii="Arial" w:hAnsi="Arial" w:cs="Arial"/>
          <w:lang w:val="en-US"/>
        </w:rPr>
      </w:pPr>
      <w:r>
        <w:rPr>
          <w:rFonts w:ascii="Arial" w:hAnsi="Arial" w:cs="Arial"/>
          <w:lang w:val="en-US"/>
        </w:rPr>
        <w:t>It should be borne in mind that the rights, safety and well-being of trial participants are an  overriding value and are more important than the interests of science and society;</w:t>
      </w:r>
    </w:p>
    <w:p w14:paraId="41912AD8" w14:textId="77777777" w:rsidR="00525C62" w:rsidRDefault="00525C62" w:rsidP="00525C62">
      <w:pPr>
        <w:pStyle w:val="Akapitzlist"/>
        <w:numPr>
          <w:ilvl w:val="0"/>
          <w:numId w:val="7"/>
        </w:numPr>
        <w:tabs>
          <w:tab w:val="left" w:pos="426"/>
        </w:tabs>
        <w:spacing w:after="0" w:line="276" w:lineRule="auto"/>
        <w:jc w:val="both"/>
        <w:rPr>
          <w:rFonts w:ascii="Arial" w:hAnsi="Arial" w:cs="Arial"/>
          <w:lang w:val="en-US"/>
        </w:rPr>
      </w:pPr>
      <w:r>
        <w:rPr>
          <w:rFonts w:ascii="Arial" w:hAnsi="Arial" w:cs="Arial"/>
          <w:lang w:val="en-US"/>
        </w:rPr>
        <w:t>The results of non-clinical studies and data obtained from previous clinical trials with the investigational product should sufficiently justify the proposed clinical trial;</w:t>
      </w:r>
    </w:p>
    <w:p w14:paraId="7925707D" w14:textId="77777777" w:rsidR="00525C62" w:rsidRDefault="00525C62" w:rsidP="00525C62">
      <w:pPr>
        <w:pStyle w:val="Akapitzlist"/>
        <w:numPr>
          <w:ilvl w:val="0"/>
          <w:numId w:val="7"/>
        </w:numPr>
        <w:tabs>
          <w:tab w:val="left" w:pos="426"/>
        </w:tabs>
        <w:spacing w:after="0" w:line="276" w:lineRule="auto"/>
        <w:jc w:val="both"/>
        <w:rPr>
          <w:rFonts w:ascii="Arial" w:hAnsi="Arial" w:cs="Arial"/>
          <w:lang w:val="en-US"/>
        </w:rPr>
      </w:pPr>
      <w:r>
        <w:rPr>
          <w:rFonts w:ascii="Arial" w:hAnsi="Arial" w:cs="Arial"/>
          <w:lang w:val="en-US"/>
        </w:rPr>
        <w:t>Clinical trials should be justified from the scientific viewpoint and described in a detailed and clear protocol;</w:t>
      </w:r>
    </w:p>
    <w:p w14:paraId="2C596B50" w14:textId="77777777" w:rsidR="00525C62" w:rsidRDefault="00525C62" w:rsidP="00525C62">
      <w:pPr>
        <w:pStyle w:val="Akapitzlist"/>
        <w:numPr>
          <w:ilvl w:val="0"/>
          <w:numId w:val="7"/>
        </w:numPr>
        <w:tabs>
          <w:tab w:val="left" w:pos="426"/>
        </w:tabs>
        <w:spacing w:after="0" w:line="276" w:lineRule="auto"/>
        <w:jc w:val="both"/>
        <w:rPr>
          <w:rFonts w:ascii="Arial" w:hAnsi="Arial" w:cs="Arial"/>
          <w:lang w:val="en-US"/>
        </w:rPr>
      </w:pPr>
      <w:r>
        <w:rPr>
          <w:rFonts w:ascii="Arial" w:hAnsi="Arial" w:cs="Arial"/>
          <w:lang w:val="en-US"/>
        </w:rPr>
        <w:t>A clinical trial should be carried out as per the protocol accepted beforehand by an Bioethics Committee;</w:t>
      </w:r>
    </w:p>
    <w:p w14:paraId="7D76B84C" w14:textId="77777777" w:rsidR="00525C62" w:rsidRDefault="00525C62" w:rsidP="00525C62">
      <w:pPr>
        <w:pStyle w:val="Akapitzlist"/>
        <w:numPr>
          <w:ilvl w:val="0"/>
          <w:numId w:val="7"/>
        </w:numPr>
        <w:tabs>
          <w:tab w:val="left" w:pos="426"/>
        </w:tabs>
        <w:spacing w:after="0" w:line="276" w:lineRule="auto"/>
        <w:jc w:val="both"/>
        <w:rPr>
          <w:rFonts w:ascii="Arial" w:hAnsi="Arial" w:cs="Arial"/>
          <w:lang w:val="en-US"/>
        </w:rPr>
      </w:pPr>
      <w:r>
        <w:rPr>
          <w:rFonts w:ascii="Arial" w:hAnsi="Arial" w:cs="Arial"/>
          <w:lang w:val="en-US"/>
        </w:rPr>
        <w:t>Medical care should be provided and all medical decisions concerning clinical trial participants should be always taken by a qualified physician,</w:t>
      </w:r>
    </w:p>
    <w:p w14:paraId="4E892C73" w14:textId="77777777" w:rsidR="00525C62" w:rsidRDefault="00525C62" w:rsidP="00525C62">
      <w:pPr>
        <w:pStyle w:val="Akapitzlist"/>
        <w:numPr>
          <w:ilvl w:val="0"/>
          <w:numId w:val="7"/>
        </w:numPr>
        <w:tabs>
          <w:tab w:val="left" w:pos="426"/>
        </w:tabs>
        <w:spacing w:after="0" w:line="276" w:lineRule="auto"/>
        <w:jc w:val="both"/>
        <w:rPr>
          <w:rFonts w:ascii="Arial" w:hAnsi="Arial" w:cs="Arial"/>
          <w:lang w:val="en-US"/>
        </w:rPr>
      </w:pPr>
      <w:r>
        <w:rPr>
          <w:rFonts w:ascii="Arial" w:hAnsi="Arial" w:cs="Arial"/>
          <w:lang w:val="en-US"/>
        </w:rPr>
        <w:lastRenderedPageBreak/>
        <w:t>Each of the persons conducting a clinical trial should have relevant qualifications: educational background, training and experience matching the tasks to be performed by this person in the trial;</w:t>
      </w:r>
    </w:p>
    <w:p w14:paraId="7F7B26E4" w14:textId="77777777" w:rsidR="00525C62" w:rsidRDefault="00525C62" w:rsidP="00525C62">
      <w:pPr>
        <w:pStyle w:val="Akapitzlist"/>
        <w:numPr>
          <w:ilvl w:val="0"/>
          <w:numId w:val="7"/>
        </w:numPr>
        <w:tabs>
          <w:tab w:val="left" w:pos="426"/>
        </w:tabs>
        <w:spacing w:after="0" w:line="276" w:lineRule="auto"/>
        <w:jc w:val="both"/>
        <w:rPr>
          <w:rFonts w:ascii="Arial" w:hAnsi="Arial" w:cs="Arial"/>
          <w:lang w:val="en-US"/>
        </w:rPr>
      </w:pPr>
      <w:r>
        <w:rPr>
          <w:rFonts w:ascii="Arial" w:hAnsi="Arial" w:cs="Arial"/>
          <w:lang w:val="en-US"/>
        </w:rPr>
        <w:t>Informed and free consent to participate in a clinical trial should be obtained from each person subjecting to a clinical trial prior to enrolment;</w:t>
      </w:r>
    </w:p>
    <w:p w14:paraId="32900758" w14:textId="77777777" w:rsidR="00525C62" w:rsidRDefault="00525C62" w:rsidP="00525C62">
      <w:pPr>
        <w:pStyle w:val="Akapitzlist"/>
        <w:numPr>
          <w:ilvl w:val="0"/>
          <w:numId w:val="7"/>
        </w:numPr>
        <w:tabs>
          <w:tab w:val="left" w:pos="426"/>
        </w:tabs>
        <w:spacing w:after="0" w:line="276" w:lineRule="auto"/>
        <w:jc w:val="both"/>
        <w:rPr>
          <w:rFonts w:ascii="Arial" w:hAnsi="Arial" w:cs="Arial"/>
          <w:lang w:val="en-US"/>
        </w:rPr>
      </w:pPr>
      <w:r>
        <w:rPr>
          <w:rFonts w:ascii="Arial" w:hAnsi="Arial" w:cs="Arial"/>
          <w:lang w:val="en-US"/>
        </w:rPr>
        <w:t>All information on a clinical trial should be registered, processed and stored in the manner that enables proper reporting, interpretation and verification;</w:t>
      </w:r>
    </w:p>
    <w:p w14:paraId="5A768107" w14:textId="77777777" w:rsidR="00525C62" w:rsidRDefault="00525C62" w:rsidP="00525C62">
      <w:pPr>
        <w:pStyle w:val="Akapitzlist"/>
        <w:numPr>
          <w:ilvl w:val="0"/>
          <w:numId w:val="7"/>
        </w:numPr>
        <w:tabs>
          <w:tab w:val="left" w:pos="426"/>
        </w:tabs>
        <w:spacing w:after="0" w:line="276" w:lineRule="auto"/>
        <w:jc w:val="both"/>
        <w:rPr>
          <w:rFonts w:ascii="Arial" w:hAnsi="Arial" w:cs="Arial"/>
          <w:lang w:val="en-US"/>
        </w:rPr>
      </w:pPr>
      <w:r>
        <w:rPr>
          <w:rFonts w:ascii="Arial" w:hAnsi="Arial" w:cs="Arial"/>
          <w:lang w:val="en-US"/>
        </w:rPr>
        <w:t>Confidentiality of the data enabling the identification of persons participating in should be protected and respected in accordance with the applicable provisions on the protection of personal data;</w:t>
      </w:r>
    </w:p>
    <w:p w14:paraId="0F40BD04" w14:textId="77777777" w:rsidR="00525C62" w:rsidRDefault="00525C62" w:rsidP="00525C62">
      <w:pPr>
        <w:pStyle w:val="Akapitzlist"/>
        <w:numPr>
          <w:ilvl w:val="0"/>
          <w:numId w:val="7"/>
        </w:numPr>
        <w:tabs>
          <w:tab w:val="left" w:pos="426"/>
        </w:tabs>
        <w:spacing w:after="0" w:line="276" w:lineRule="auto"/>
        <w:jc w:val="both"/>
        <w:rPr>
          <w:rFonts w:ascii="Arial" w:hAnsi="Arial" w:cs="Arial"/>
          <w:lang w:val="en-US"/>
        </w:rPr>
      </w:pPr>
      <w:r>
        <w:rPr>
          <w:rFonts w:ascii="Arial" w:hAnsi="Arial" w:cs="Arial"/>
          <w:lang w:val="en-US"/>
        </w:rPr>
        <w:t>The investigational medicinal product should be manufactured, transported and stored as per GMP (Good Manufacturing Practice) requirements. Product use should be consistent with the approved clinical trial protocol;</w:t>
      </w:r>
    </w:p>
    <w:p w14:paraId="41A00344" w14:textId="77777777" w:rsidR="00525C62" w:rsidRDefault="00525C62" w:rsidP="00525C62">
      <w:pPr>
        <w:pStyle w:val="Akapitzlist"/>
        <w:numPr>
          <w:ilvl w:val="0"/>
          <w:numId w:val="7"/>
        </w:numPr>
        <w:tabs>
          <w:tab w:val="left" w:pos="426"/>
        </w:tabs>
        <w:spacing w:after="0" w:line="276" w:lineRule="auto"/>
        <w:jc w:val="both"/>
        <w:rPr>
          <w:rFonts w:ascii="Arial" w:hAnsi="Arial" w:cs="Arial"/>
          <w:lang w:val="en-US"/>
        </w:rPr>
      </w:pPr>
      <w:r>
        <w:rPr>
          <w:rFonts w:ascii="Arial" w:hAnsi="Arial" w:cs="Arial"/>
          <w:lang w:val="en-US"/>
        </w:rPr>
        <w:t>Trials should be conducted with the use systems and procedures that constitute the warranty of quality in every aspect of the trial.</w:t>
      </w:r>
    </w:p>
    <w:p w14:paraId="32AA261D" w14:textId="77777777" w:rsidR="00525C62" w:rsidRDefault="00525C62" w:rsidP="00525C62">
      <w:pPr>
        <w:pStyle w:val="Akapitzlist"/>
        <w:autoSpaceDE w:val="0"/>
        <w:autoSpaceDN w:val="0"/>
        <w:adjustRightInd w:val="0"/>
        <w:spacing w:after="0" w:line="360" w:lineRule="auto"/>
        <w:ind w:left="360"/>
        <w:jc w:val="center"/>
        <w:rPr>
          <w:rFonts w:ascii="Arial" w:eastAsia="Times New Roman" w:hAnsi="Arial" w:cs="Arial"/>
          <w:b/>
          <w:bCs/>
          <w:sz w:val="28"/>
          <w:szCs w:val="28"/>
          <w:lang w:eastAsia="pl-PL"/>
        </w:rPr>
      </w:pPr>
      <w:r>
        <w:rPr>
          <w:rFonts w:ascii="Arial" w:eastAsia="Times New Roman" w:hAnsi="Arial" w:cs="Arial"/>
          <w:b/>
          <w:bCs/>
          <w:sz w:val="28"/>
          <w:szCs w:val="28"/>
          <w:lang w:eastAsia="pl-PL"/>
        </w:rPr>
        <w:t>* * * * *</w:t>
      </w:r>
    </w:p>
    <w:p w14:paraId="2B686025" w14:textId="77777777" w:rsidR="00EF188D" w:rsidRDefault="00EF188D"/>
    <w:sectPr w:rsidR="00EF188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9FA9D" w14:textId="77777777" w:rsidR="003B6878" w:rsidRDefault="003B6878" w:rsidP="00525C62">
      <w:pPr>
        <w:spacing w:after="0" w:line="240" w:lineRule="auto"/>
      </w:pPr>
      <w:r>
        <w:separator/>
      </w:r>
    </w:p>
  </w:endnote>
  <w:endnote w:type="continuationSeparator" w:id="0">
    <w:p w14:paraId="542CB268" w14:textId="77777777" w:rsidR="003B6878" w:rsidRDefault="003B6878" w:rsidP="00525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7879120"/>
      <w:docPartObj>
        <w:docPartGallery w:val="Page Numbers (Bottom of Page)"/>
        <w:docPartUnique/>
      </w:docPartObj>
    </w:sdtPr>
    <w:sdtEndPr/>
    <w:sdtContent>
      <w:sdt>
        <w:sdtPr>
          <w:id w:val="-1769616900"/>
          <w:docPartObj>
            <w:docPartGallery w:val="Page Numbers (Top of Page)"/>
            <w:docPartUnique/>
          </w:docPartObj>
        </w:sdtPr>
        <w:sdtEndPr/>
        <w:sdtContent>
          <w:p w14:paraId="7EDB8E66" w14:textId="77777777" w:rsidR="00525C62" w:rsidRDefault="00525C62" w:rsidP="00525C62">
            <w:pPr>
              <w:pStyle w:val="Stopka"/>
              <w:jc w:val="right"/>
              <w:rPr>
                <w:rFonts w:ascii="Arial" w:hAnsi="Arial" w:cs="Arial"/>
                <w:bCs/>
                <w:sz w:val="16"/>
                <w:szCs w:val="16"/>
              </w:rPr>
            </w:pPr>
            <w:r>
              <w:rPr>
                <w:rFonts w:ascii="Arial" w:hAnsi="Arial" w:cs="Arial"/>
                <w:sz w:val="16"/>
                <w:szCs w:val="16"/>
              </w:rPr>
              <w:t xml:space="preserve">Strona </w:t>
            </w:r>
            <w:r>
              <w:rPr>
                <w:rFonts w:ascii="Arial" w:hAnsi="Arial" w:cs="Arial"/>
                <w:bCs/>
                <w:sz w:val="16"/>
                <w:szCs w:val="16"/>
              </w:rPr>
              <w:fldChar w:fldCharType="begin"/>
            </w:r>
            <w:r>
              <w:rPr>
                <w:rFonts w:ascii="Arial" w:hAnsi="Arial" w:cs="Arial"/>
                <w:bCs/>
                <w:sz w:val="16"/>
                <w:szCs w:val="16"/>
              </w:rPr>
              <w:instrText>PAGE</w:instrText>
            </w:r>
            <w:r>
              <w:rPr>
                <w:rFonts w:ascii="Arial" w:hAnsi="Arial" w:cs="Arial"/>
                <w:bCs/>
                <w:sz w:val="16"/>
                <w:szCs w:val="16"/>
              </w:rPr>
              <w:fldChar w:fldCharType="separate"/>
            </w:r>
            <w:r>
              <w:rPr>
                <w:rFonts w:ascii="Arial" w:hAnsi="Arial" w:cs="Arial"/>
                <w:bCs/>
                <w:sz w:val="16"/>
                <w:szCs w:val="16"/>
              </w:rPr>
              <w:t>1</w:t>
            </w:r>
            <w:r>
              <w:rPr>
                <w:rFonts w:ascii="Arial" w:hAnsi="Arial" w:cs="Arial"/>
                <w:bCs/>
                <w:sz w:val="16"/>
                <w:szCs w:val="16"/>
              </w:rPr>
              <w:fldChar w:fldCharType="end"/>
            </w:r>
            <w:r>
              <w:rPr>
                <w:rFonts w:ascii="Arial" w:hAnsi="Arial" w:cs="Arial"/>
                <w:sz w:val="16"/>
                <w:szCs w:val="16"/>
              </w:rPr>
              <w:t xml:space="preserve"> z </w:t>
            </w:r>
            <w:r>
              <w:rPr>
                <w:rFonts w:ascii="Arial" w:hAnsi="Arial" w:cs="Arial"/>
                <w:bCs/>
                <w:sz w:val="16"/>
                <w:szCs w:val="16"/>
              </w:rPr>
              <w:fldChar w:fldCharType="begin"/>
            </w:r>
            <w:r>
              <w:rPr>
                <w:rFonts w:ascii="Arial" w:hAnsi="Arial" w:cs="Arial"/>
                <w:bCs/>
                <w:sz w:val="16"/>
                <w:szCs w:val="16"/>
              </w:rPr>
              <w:instrText>NUMPAGES</w:instrText>
            </w:r>
            <w:r>
              <w:rPr>
                <w:rFonts w:ascii="Arial" w:hAnsi="Arial" w:cs="Arial"/>
                <w:bCs/>
                <w:sz w:val="16"/>
                <w:szCs w:val="16"/>
              </w:rPr>
              <w:fldChar w:fldCharType="separate"/>
            </w:r>
            <w:r>
              <w:rPr>
                <w:rFonts w:ascii="Arial" w:hAnsi="Arial" w:cs="Arial"/>
                <w:bCs/>
                <w:sz w:val="16"/>
                <w:szCs w:val="16"/>
              </w:rPr>
              <w:t>9</w:t>
            </w:r>
            <w:r>
              <w:rPr>
                <w:rFonts w:ascii="Arial" w:hAnsi="Arial" w:cs="Arial"/>
                <w:bCs/>
                <w:sz w:val="16"/>
                <w:szCs w:val="16"/>
              </w:rPr>
              <w:fldChar w:fldCharType="end"/>
            </w:r>
          </w:p>
          <w:p w14:paraId="47F2C99A" w14:textId="26C7009B" w:rsidR="00525C62" w:rsidRDefault="00525C62" w:rsidP="00525C62">
            <w:pPr>
              <w:pStyle w:val="Stopka"/>
              <w:rPr>
                <w:rFonts w:ascii="Arial" w:hAnsi="Arial" w:cs="Arial"/>
                <w:b/>
                <w:color w:val="C00000"/>
                <w:sz w:val="18"/>
                <w:szCs w:val="18"/>
              </w:rPr>
            </w:pPr>
            <w:bookmarkStart w:id="2" w:name="_Hlk71640227"/>
            <w:bookmarkStart w:id="3" w:name="_Hlk71640228"/>
            <w:bookmarkStart w:id="4" w:name="_Hlk71640229"/>
            <w:bookmarkStart w:id="5" w:name="_Hlk71640230"/>
            <w:bookmarkStart w:id="6" w:name="_Hlk71640231"/>
            <w:bookmarkStart w:id="7" w:name="_Hlk71640232"/>
            <w:bookmarkStart w:id="8" w:name="_Hlk71640233"/>
            <w:bookmarkStart w:id="9" w:name="_Hlk71640234"/>
            <w:bookmarkStart w:id="10" w:name="_Hlk71640235"/>
            <w:bookmarkStart w:id="11" w:name="_Hlk71640236"/>
            <w:bookmarkStart w:id="12" w:name="_Hlk71640237"/>
            <w:bookmarkStart w:id="13" w:name="_Hlk71640238"/>
            <w:bookmarkStart w:id="14" w:name="_Hlk71640239"/>
            <w:bookmarkStart w:id="15" w:name="_Hlk71640240"/>
            <w:bookmarkStart w:id="16" w:name="_Hlk71640241"/>
            <w:bookmarkStart w:id="17" w:name="_Hlk71640242"/>
            <w:r>
              <w:rPr>
                <w:rFonts w:ascii="Arial" w:hAnsi="Arial" w:cs="Arial"/>
                <w:b/>
                <w:color w:val="C00000"/>
                <w:sz w:val="18"/>
                <w:szCs w:val="18"/>
              </w:rPr>
              <w:t>Numer sprawy ABM-ZP-</w:t>
            </w:r>
            <w:r w:rsidR="00105374">
              <w:rPr>
                <w:rFonts w:ascii="Arial" w:hAnsi="Arial" w:cs="Arial"/>
                <w:b/>
                <w:color w:val="C00000"/>
                <w:sz w:val="18"/>
                <w:szCs w:val="18"/>
              </w:rPr>
              <w:t>6</w:t>
            </w:r>
            <w:r>
              <w:rPr>
                <w:rFonts w:ascii="Arial" w:hAnsi="Arial" w:cs="Arial"/>
                <w:b/>
                <w:color w:val="C00000"/>
                <w:sz w:val="18"/>
                <w:szCs w:val="18"/>
              </w:rPr>
              <w:t>/2021</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482CFE2C" w14:textId="77777777" w:rsidR="00525C62" w:rsidRDefault="00525C62" w:rsidP="00525C62">
            <w:pPr>
              <w:pStyle w:val="Stopka"/>
            </w:pPr>
            <w:r>
              <w:rPr>
                <w:rFonts w:ascii="Arial" w:hAnsi="Arial" w:cs="Arial"/>
                <w:i/>
                <w:iCs/>
                <w:color w:val="C00000"/>
                <w:sz w:val="18"/>
                <w:szCs w:val="18"/>
              </w:rPr>
              <w:t>Świadczenie ustnych oraz pisemnych usług tłumaczeń językowych</w:t>
            </w:r>
          </w:p>
        </w:sdtContent>
      </w:sdt>
    </w:sdtContent>
  </w:sdt>
  <w:p w14:paraId="2C6DC96A" w14:textId="77777777" w:rsidR="00525C62" w:rsidRDefault="00525C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EFA4B" w14:textId="77777777" w:rsidR="003B6878" w:rsidRDefault="003B6878" w:rsidP="00525C62">
      <w:pPr>
        <w:spacing w:after="0" w:line="240" w:lineRule="auto"/>
      </w:pPr>
      <w:r>
        <w:separator/>
      </w:r>
    </w:p>
  </w:footnote>
  <w:footnote w:type="continuationSeparator" w:id="0">
    <w:p w14:paraId="28CF9611" w14:textId="77777777" w:rsidR="003B6878" w:rsidRDefault="003B6878" w:rsidP="00525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66FF3"/>
    <w:multiLevelType w:val="hybridMultilevel"/>
    <w:tmpl w:val="05FABF6C"/>
    <w:lvl w:ilvl="0" w:tplc="04150001">
      <w:start w:val="1"/>
      <w:numFmt w:val="bullet"/>
      <w:lvlText w:val=""/>
      <w:lvlJc w:val="left"/>
      <w:pPr>
        <w:ind w:left="1545" w:hanging="360"/>
      </w:pPr>
      <w:rPr>
        <w:rFonts w:ascii="Symbol" w:hAnsi="Symbol" w:hint="default"/>
      </w:rPr>
    </w:lvl>
    <w:lvl w:ilvl="1" w:tplc="04150003">
      <w:start w:val="1"/>
      <w:numFmt w:val="bullet"/>
      <w:lvlText w:val="o"/>
      <w:lvlJc w:val="left"/>
      <w:pPr>
        <w:ind w:left="2265" w:hanging="360"/>
      </w:pPr>
      <w:rPr>
        <w:rFonts w:ascii="Courier New" w:hAnsi="Courier New" w:cs="Courier New" w:hint="default"/>
      </w:rPr>
    </w:lvl>
    <w:lvl w:ilvl="2" w:tplc="04150005">
      <w:start w:val="1"/>
      <w:numFmt w:val="bullet"/>
      <w:lvlText w:val=""/>
      <w:lvlJc w:val="left"/>
      <w:pPr>
        <w:ind w:left="2985" w:hanging="360"/>
      </w:pPr>
      <w:rPr>
        <w:rFonts w:ascii="Wingdings" w:hAnsi="Wingdings" w:hint="default"/>
      </w:rPr>
    </w:lvl>
    <w:lvl w:ilvl="3" w:tplc="04150001">
      <w:start w:val="1"/>
      <w:numFmt w:val="bullet"/>
      <w:lvlText w:val=""/>
      <w:lvlJc w:val="left"/>
      <w:pPr>
        <w:ind w:left="3705" w:hanging="360"/>
      </w:pPr>
      <w:rPr>
        <w:rFonts w:ascii="Symbol" w:hAnsi="Symbol" w:hint="default"/>
      </w:rPr>
    </w:lvl>
    <w:lvl w:ilvl="4" w:tplc="04150003">
      <w:start w:val="1"/>
      <w:numFmt w:val="bullet"/>
      <w:lvlText w:val="o"/>
      <w:lvlJc w:val="left"/>
      <w:pPr>
        <w:ind w:left="4425" w:hanging="360"/>
      </w:pPr>
      <w:rPr>
        <w:rFonts w:ascii="Courier New" w:hAnsi="Courier New" w:cs="Courier New" w:hint="default"/>
      </w:rPr>
    </w:lvl>
    <w:lvl w:ilvl="5" w:tplc="04150005">
      <w:start w:val="1"/>
      <w:numFmt w:val="bullet"/>
      <w:lvlText w:val=""/>
      <w:lvlJc w:val="left"/>
      <w:pPr>
        <w:ind w:left="5145" w:hanging="360"/>
      </w:pPr>
      <w:rPr>
        <w:rFonts w:ascii="Wingdings" w:hAnsi="Wingdings" w:hint="default"/>
      </w:rPr>
    </w:lvl>
    <w:lvl w:ilvl="6" w:tplc="04150001">
      <w:start w:val="1"/>
      <w:numFmt w:val="bullet"/>
      <w:lvlText w:val=""/>
      <w:lvlJc w:val="left"/>
      <w:pPr>
        <w:ind w:left="5865" w:hanging="360"/>
      </w:pPr>
      <w:rPr>
        <w:rFonts w:ascii="Symbol" w:hAnsi="Symbol" w:hint="default"/>
      </w:rPr>
    </w:lvl>
    <w:lvl w:ilvl="7" w:tplc="04150003">
      <w:start w:val="1"/>
      <w:numFmt w:val="bullet"/>
      <w:lvlText w:val="o"/>
      <w:lvlJc w:val="left"/>
      <w:pPr>
        <w:ind w:left="6585" w:hanging="360"/>
      </w:pPr>
      <w:rPr>
        <w:rFonts w:ascii="Courier New" w:hAnsi="Courier New" w:cs="Courier New" w:hint="default"/>
      </w:rPr>
    </w:lvl>
    <w:lvl w:ilvl="8" w:tplc="04150005">
      <w:start w:val="1"/>
      <w:numFmt w:val="bullet"/>
      <w:lvlText w:val=""/>
      <w:lvlJc w:val="left"/>
      <w:pPr>
        <w:ind w:left="7305" w:hanging="360"/>
      </w:pPr>
      <w:rPr>
        <w:rFonts w:ascii="Wingdings" w:hAnsi="Wingdings" w:hint="default"/>
      </w:rPr>
    </w:lvl>
  </w:abstractNum>
  <w:abstractNum w:abstractNumId="1" w15:restartNumberingAfterBreak="0">
    <w:nsid w:val="244F318D"/>
    <w:multiLevelType w:val="hybridMultilevel"/>
    <w:tmpl w:val="380C7226"/>
    <w:lvl w:ilvl="0" w:tplc="EDA0A72E">
      <w:start w:val="1"/>
      <w:numFmt w:val="bullet"/>
      <w:lvlText w:val=""/>
      <w:lvlJc w:val="left"/>
      <w:pPr>
        <w:ind w:left="360" w:hanging="360"/>
      </w:pPr>
      <w:rPr>
        <w:rFonts w:ascii="Symbol" w:hAnsi="Symbol" w:hint="default"/>
        <w:sz w:val="22"/>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300B5249"/>
    <w:multiLevelType w:val="hybridMultilevel"/>
    <w:tmpl w:val="7C487146"/>
    <w:lvl w:ilvl="0" w:tplc="04150001">
      <w:start w:val="1"/>
      <w:numFmt w:val="bullet"/>
      <w:lvlText w:val=""/>
      <w:lvlJc w:val="left"/>
      <w:pPr>
        <w:ind w:left="1485" w:hanging="360"/>
      </w:pPr>
      <w:rPr>
        <w:rFonts w:ascii="Symbol" w:hAnsi="Symbol" w:hint="default"/>
      </w:rPr>
    </w:lvl>
    <w:lvl w:ilvl="1" w:tplc="EA182B9A">
      <w:start w:val="13"/>
      <w:numFmt w:val="bullet"/>
      <w:lvlText w:val="•"/>
      <w:lvlJc w:val="left"/>
      <w:pPr>
        <w:ind w:left="2265" w:hanging="420"/>
      </w:pPr>
      <w:rPr>
        <w:rFonts w:ascii="Arial" w:eastAsiaTheme="minorHAnsi" w:hAnsi="Arial" w:cs="Arial" w:hint="default"/>
      </w:rPr>
    </w:lvl>
    <w:lvl w:ilvl="2" w:tplc="04150005">
      <w:start w:val="1"/>
      <w:numFmt w:val="bullet"/>
      <w:lvlText w:val=""/>
      <w:lvlJc w:val="left"/>
      <w:pPr>
        <w:ind w:left="2925" w:hanging="360"/>
      </w:pPr>
      <w:rPr>
        <w:rFonts w:ascii="Wingdings" w:hAnsi="Wingdings" w:hint="default"/>
      </w:rPr>
    </w:lvl>
    <w:lvl w:ilvl="3" w:tplc="04150001">
      <w:start w:val="1"/>
      <w:numFmt w:val="bullet"/>
      <w:lvlText w:val=""/>
      <w:lvlJc w:val="left"/>
      <w:pPr>
        <w:ind w:left="3645" w:hanging="360"/>
      </w:pPr>
      <w:rPr>
        <w:rFonts w:ascii="Symbol" w:hAnsi="Symbol" w:hint="default"/>
      </w:rPr>
    </w:lvl>
    <w:lvl w:ilvl="4" w:tplc="04150003">
      <w:start w:val="1"/>
      <w:numFmt w:val="bullet"/>
      <w:lvlText w:val="o"/>
      <w:lvlJc w:val="left"/>
      <w:pPr>
        <w:ind w:left="4365" w:hanging="360"/>
      </w:pPr>
      <w:rPr>
        <w:rFonts w:ascii="Courier New" w:hAnsi="Courier New" w:cs="Courier New" w:hint="default"/>
      </w:rPr>
    </w:lvl>
    <w:lvl w:ilvl="5" w:tplc="04150005">
      <w:start w:val="1"/>
      <w:numFmt w:val="bullet"/>
      <w:lvlText w:val=""/>
      <w:lvlJc w:val="left"/>
      <w:pPr>
        <w:ind w:left="5085" w:hanging="360"/>
      </w:pPr>
      <w:rPr>
        <w:rFonts w:ascii="Wingdings" w:hAnsi="Wingdings" w:hint="default"/>
      </w:rPr>
    </w:lvl>
    <w:lvl w:ilvl="6" w:tplc="04150001">
      <w:start w:val="1"/>
      <w:numFmt w:val="bullet"/>
      <w:lvlText w:val=""/>
      <w:lvlJc w:val="left"/>
      <w:pPr>
        <w:ind w:left="5805" w:hanging="360"/>
      </w:pPr>
      <w:rPr>
        <w:rFonts w:ascii="Symbol" w:hAnsi="Symbol" w:hint="default"/>
      </w:rPr>
    </w:lvl>
    <w:lvl w:ilvl="7" w:tplc="04150003">
      <w:start w:val="1"/>
      <w:numFmt w:val="bullet"/>
      <w:lvlText w:val="o"/>
      <w:lvlJc w:val="left"/>
      <w:pPr>
        <w:ind w:left="6525" w:hanging="360"/>
      </w:pPr>
      <w:rPr>
        <w:rFonts w:ascii="Courier New" w:hAnsi="Courier New" w:cs="Courier New" w:hint="default"/>
      </w:rPr>
    </w:lvl>
    <w:lvl w:ilvl="8" w:tplc="04150005">
      <w:start w:val="1"/>
      <w:numFmt w:val="bullet"/>
      <w:lvlText w:val=""/>
      <w:lvlJc w:val="left"/>
      <w:pPr>
        <w:ind w:left="7245" w:hanging="360"/>
      </w:pPr>
      <w:rPr>
        <w:rFonts w:ascii="Wingdings" w:hAnsi="Wingdings" w:hint="default"/>
      </w:rPr>
    </w:lvl>
  </w:abstractNum>
  <w:abstractNum w:abstractNumId="3" w15:restartNumberingAfterBreak="0">
    <w:nsid w:val="30864178"/>
    <w:multiLevelType w:val="hybridMultilevel"/>
    <w:tmpl w:val="C7F8F9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32B50C75"/>
    <w:multiLevelType w:val="multilevel"/>
    <w:tmpl w:val="B7ACC7C0"/>
    <w:lvl w:ilvl="0">
      <w:start w:val="1"/>
      <w:numFmt w:val="decimal"/>
      <w:pStyle w:val="Nagwek1"/>
      <w:suff w:val="space"/>
      <w:lvlText w:val="Rozdział %1"/>
      <w:lvlJc w:val="left"/>
      <w:pPr>
        <w:ind w:left="0" w:firstLine="0"/>
      </w:p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abstractNum w:abstractNumId="5" w15:restartNumberingAfterBreak="0">
    <w:nsid w:val="537C1122"/>
    <w:multiLevelType w:val="hybridMultilevel"/>
    <w:tmpl w:val="726E7082"/>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6" w15:restartNumberingAfterBreak="0">
    <w:nsid w:val="7CBB70C3"/>
    <w:multiLevelType w:val="hybridMultilevel"/>
    <w:tmpl w:val="4D7E4F5C"/>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E24"/>
    <w:rsid w:val="00105374"/>
    <w:rsid w:val="003B6878"/>
    <w:rsid w:val="003C6E24"/>
    <w:rsid w:val="00525C62"/>
    <w:rsid w:val="007A23CC"/>
    <w:rsid w:val="007C0BF3"/>
    <w:rsid w:val="0092433B"/>
    <w:rsid w:val="00EF18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C4423"/>
  <w15:chartTrackingRefBased/>
  <w15:docId w15:val="{20D188E6-5D31-4784-AEAB-DDD5C282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uiPriority w:val="9"/>
    <w:qFormat/>
    <w:rsid w:val="00525C62"/>
    <w:pPr>
      <w:keepNext/>
      <w:numPr>
        <w:numId w:val="1"/>
      </w:numPr>
      <w:spacing w:after="0" w:line="240" w:lineRule="auto"/>
      <w:jc w:val="center"/>
      <w:outlineLvl w:val="0"/>
    </w:pPr>
    <w:rPr>
      <w:rFonts w:ascii="Arial" w:eastAsia="Times New Roman" w:hAnsi="Arial" w:cs="Times New Roman"/>
      <w:w w:val="120"/>
      <w:sz w:val="24"/>
      <w:szCs w:val="24"/>
      <w:lang w:val="x-none" w:eastAsia="x-none"/>
    </w:rPr>
  </w:style>
  <w:style w:type="paragraph" w:styleId="Nagwek2">
    <w:name w:val="heading 2"/>
    <w:basedOn w:val="Normalny"/>
    <w:next w:val="Normalny"/>
    <w:link w:val="Nagwek2Znak"/>
    <w:semiHidden/>
    <w:unhideWhenUsed/>
    <w:qFormat/>
    <w:rsid w:val="00525C62"/>
    <w:pPr>
      <w:keepNext/>
      <w:numPr>
        <w:ilvl w:val="1"/>
        <w:numId w:val="1"/>
      </w:numPr>
      <w:spacing w:before="240" w:after="60" w:line="240" w:lineRule="auto"/>
      <w:outlineLvl w:val="1"/>
    </w:pPr>
    <w:rPr>
      <w:rFonts w:ascii="Arial" w:eastAsia="Times New Roman" w:hAnsi="Arial" w:cs="Times New Roman"/>
      <w:b/>
      <w:bCs/>
      <w:i/>
      <w:iCs/>
      <w:color w:val="000000"/>
      <w:sz w:val="28"/>
      <w:szCs w:val="28"/>
      <w:lang w:val="x-none" w:eastAsia="x-none"/>
    </w:rPr>
  </w:style>
  <w:style w:type="paragraph" w:styleId="Nagwek3">
    <w:name w:val="heading 3"/>
    <w:basedOn w:val="Normalny"/>
    <w:next w:val="Normalny"/>
    <w:link w:val="Nagwek3Znak"/>
    <w:semiHidden/>
    <w:unhideWhenUsed/>
    <w:qFormat/>
    <w:rsid w:val="00525C62"/>
    <w:pPr>
      <w:keepNext/>
      <w:numPr>
        <w:ilvl w:val="2"/>
        <w:numId w:val="1"/>
      </w:numPr>
      <w:spacing w:before="240" w:after="60" w:line="240" w:lineRule="auto"/>
      <w:outlineLvl w:val="2"/>
    </w:pPr>
    <w:rPr>
      <w:rFonts w:ascii="Arial" w:eastAsia="Times New Roman" w:hAnsi="Arial" w:cs="Times New Roman"/>
      <w:b/>
      <w:bCs/>
      <w:sz w:val="26"/>
      <w:szCs w:val="26"/>
      <w:lang w:val="x-none" w:eastAsia="x-none"/>
    </w:rPr>
  </w:style>
  <w:style w:type="paragraph" w:styleId="Nagwek4">
    <w:name w:val="heading 4"/>
    <w:basedOn w:val="Normalny"/>
    <w:next w:val="Normalny"/>
    <w:link w:val="Nagwek4Znak"/>
    <w:semiHidden/>
    <w:unhideWhenUsed/>
    <w:qFormat/>
    <w:rsid w:val="00525C62"/>
    <w:pPr>
      <w:keepNext/>
      <w:numPr>
        <w:ilvl w:val="3"/>
        <w:numId w:val="1"/>
      </w:numPr>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Nagwek5">
    <w:name w:val="heading 5"/>
    <w:basedOn w:val="Normalny"/>
    <w:next w:val="Normalny"/>
    <w:link w:val="Nagwek5Znak"/>
    <w:semiHidden/>
    <w:unhideWhenUsed/>
    <w:qFormat/>
    <w:rsid w:val="00525C62"/>
    <w:pPr>
      <w:numPr>
        <w:ilvl w:val="4"/>
        <w:numId w:val="1"/>
      </w:num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Nagwek6">
    <w:name w:val="heading 6"/>
    <w:basedOn w:val="Normalny"/>
    <w:next w:val="Normalny"/>
    <w:link w:val="Nagwek6Znak"/>
    <w:semiHidden/>
    <w:unhideWhenUsed/>
    <w:qFormat/>
    <w:rsid w:val="00525C62"/>
    <w:pPr>
      <w:numPr>
        <w:ilvl w:val="5"/>
        <w:numId w:val="1"/>
      </w:numPr>
      <w:spacing w:before="240" w:after="60" w:line="240" w:lineRule="auto"/>
      <w:outlineLvl w:val="5"/>
    </w:pPr>
    <w:rPr>
      <w:rFonts w:ascii="Times New Roman" w:eastAsia="Times New Roman" w:hAnsi="Times New Roman" w:cs="Times New Roman"/>
      <w:b/>
      <w:bCs/>
      <w:lang w:val="x-none" w:eastAsia="x-none"/>
    </w:rPr>
  </w:style>
  <w:style w:type="paragraph" w:styleId="Nagwek7">
    <w:name w:val="heading 7"/>
    <w:basedOn w:val="Normalny"/>
    <w:next w:val="Normalny"/>
    <w:link w:val="Nagwek7Znak"/>
    <w:semiHidden/>
    <w:unhideWhenUsed/>
    <w:qFormat/>
    <w:rsid w:val="00525C62"/>
    <w:pPr>
      <w:numPr>
        <w:ilvl w:val="6"/>
        <w:numId w:val="1"/>
      </w:numPr>
      <w:spacing w:before="240" w:after="60" w:line="240" w:lineRule="auto"/>
      <w:outlineLvl w:val="6"/>
    </w:pPr>
    <w:rPr>
      <w:rFonts w:ascii="Times New Roman" w:eastAsia="Times New Roman" w:hAnsi="Times New Roman" w:cs="Times New Roman"/>
      <w:sz w:val="24"/>
      <w:szCs w:val="24"/>
      <w:lang w:val="x-none" w:eastAsia="x-none"/>
    </w:rPr>
  </w:style>
  <w:style w:type="paragraph" w:styleId="Nagwek8">
    <w:name w:val="heading 8"/>
    <w:basedOn w:val="Normalny"/>
    <w:next w:val="Normalny"/>
    <w:link w:val="Nagwek8Znak"/>
    <w:semiHidden/>
    <w:unhideWhenUsed/>
    <w:qFormat/>
    <w:rsid w:val="00525C62"/>
    <w:pPr>
      <w:numPr>
        <w:ilvl w:val="7"/>
        <w:numId w:val="1"/>
      </w:num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Nagwek9">
    <w:name w:val="heading 9"/>
    <w:basedOn w:val="Normalny"/>
    <w:next w:val="Normalny"/>
    <w:link w:val="Nagwek9Znak"/>
    <w:semiHidden/>
    <w:unhideWhenUsed/>
    <w:qFormat/>
    <w:rsid w:val="00525C62"/>
    <w:pPr>
      <w:numPr>
        <w:ilvl w:val="8"/>
        <w:numId w:val="1"/>
      </w:numPr>
      <w:spacing w:before="240" w:after="60" w:line="240" w:lineRule="auto"/>
      <w:outlineLvl w:val="8"/>
    </w:pPr>
    <w:rPr>
      <w:rFonts w:ascii="Arial" w:eastAsia="Times New Roman" w:hAnsi="Arial" w:cs="Times New Roman"/>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25C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5C62"/>
  </w:style>
  <w:style w:type="paragraph" w:styleId="Stopka">
    <w:name w:val="footer"/>
    <w:basedOn w:val="Normalny"/>
    <w:link w:val="StopkaZnak"/>
    <w:uiPriority w:val="99"/>
    <w:unhideWhenUsed/>
    <w:rsid w:val="00525C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C62"/>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Obiekt Znak,normalny tekst Znak,Styl 1 Znak"/>
    <w:link w:val="Akapitzlist"/>
    <w:uiPriority w:val="34"/>
    <w:qFormat/>
    <w:locked/>
    <w:rsid w:val="00525C62"/>
  </w:style>
  <w:style w:type="paragraph" w:styleId="Akapitzlist">
    <w:name w:val="List Paragraph"/>
    <w:aliases w:val="T_SZ_List Paragraph,Numerowanie,List Paragraph,L1,Akapit z listą5,maz_wyliczenie,opis dzialania,K-P_odwolanie,A_wyliczenie,Akapit z listą 1,Obiekt,normalny tekst,Kolorowa lista — akcent 11,Liste à puces retrait droite,sw tekst,Styl 1,lp1"/>
    <w:basedOn w:val="Normalny"/>
    <w:link w:val="AkapitzlistZnak"/>
    <w:uiPriority w:val="34"/>
    <w:qFormat/>
    <w:rsid w:val="00525C62"/>
    <w:pPr>
      <w:spacing w:line="254" w:lineRule="auto"/>
      <w:ind w:left="720"/>
      <w:contextualSpacing/>
    </w:pPr>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basedOn w:val="Domylnaczcionkaakapitu"/>
    <w:link w:val="Nagwek1"/>
    <w:uiPriority w:val="9"/>
    <w:rsid w:val="00525C62"/>
    <w:rPr>
      <w:rFonts w:ascii="Arial" w:eastAsia="Times New Roman" w:hAnsi="Arial" w:cs="Times New Roman"/>
      <w:w w:val="120"/>
      <w:sz w:val="24"/>
      <w:szCs w:val="24"/>
      <w:lang w:val="x-none" w:eastAsia="x-none"/>
    </w:rPr>
  </w:style>
  <w:style w:type="character" w:customStyle="1" w:styleId="Nagwek2Znak">
    <w:name w:val="Nagłówek 2 Znak"/>
    <w:basedOn w:val="Domylnaczcionkaakapitu"/>
    <w:link w:val="Nagwek2"/>
    <w:semiHidden/>
    <w:rsid w:val="00525C62"/>
    <w:rPr>
      <w:rFonts w:ascii="Arial" w:eastAsia="Times New Roman" w:hAnsi="Arial" w:cs="Times New Roman"/>
      <w:b/>
      <w:bCs/>
      <w:i/>
      <w:iCs/>
      <w:color w:val="000000"/>
      <w:sz w:val="28"/>
      <w:szCs w:val="28"/>
      <w:lang w:val="x-none" w:eastAsia="x-none"/>
    </w:rPr>
  </w:style>
  <w:style w:type="character" w:customStyle="1" w:styleId="Nagwek3Znak">
    <w:name w:val="Nagłówek 3 Znak"/>
    <w:basedOn w:val="Domylnaczcionkaakapitu"/>
    <w:link w:val="Nagwek3"/>
    <w:semiHidden/>
    <w:rsid w:val="00525C62"/>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semiHidden/>
    <w:rsid w:val="00525C62"/>
    <w:rPr>
      <w:rFonts w:ascii="Times New Roman" w:eastAsia="Times New Roman" w:hAnsi="Times New Roman" w:cs="Times New Roman"/>
      <w:b/>
      <w:bCs/>
      <w:sz w:val="28"/>
      <w:szCs w:val="28"/>
      <w:lang w:val="x-none" w:eastAsia="x-none"/>
    </w:rPr>
  </w:style>
  <w:style w:type="character" w:customStyle="1" w:styleId="Nagwek5Znak">
    <w:name w:val="Nagłówek 5 Znak"/>
    <w:basedOn w:val="Domylnaczcionkaakapitu"/>
    <w:link w:val="Nagwek5"/>
    <w:semiHidden/>
    <w:rsid w:val="00525C62"/>
    <w:rPr>
      <w:rFonts w:ascii="Times New Roman" w:eastAsia="Times New Roman" w:hAnsi="Times New Roman" w:cs="Times New Roman"/>
      <w:b/>
      <w:bCs/>
      <w:i/>
      <w:iCs/>
      <w:sz w:val="26"/>
      <w:szCs w:val="26"/>
      <w:lang w:val="x-none" w:eastAsia="x-none"/>
    </w:rPr>
  </w:style>
  <w:style w:type="character" w:customStyle="1" w:styleId="Nagwek6Znak">
    <w:name w:val="Nagłówek 6 Znak"/>
    <w:basedOn w:val="Domylnaczcionkaakapitu"/>
    <w:link w:val="Nagwek6"/>
    <w:semiHidden/>
    <w:rsid w:val="00525C62"/>
    <w:rPr>
      <w:rFonts w:ascii="Times New Roman" w:eastAsia="Times New Roman" w:hAnsi="Times New Roman" w:cs="Times New Roman"/>
      <w:b/>
      <w:bCs/>
      <w:lang w:val="x-none" w:eastAsia="x-none"/>
    </w:rPr>
  </w:style>
  <w:style w:type="character" w:customStyle="1" w:styleId="Nagwek7Znak">
    <w:name w:val="Nagłówek 7 Znak"/>
    <w:basedOn w:val="Domylnaczcionkaakapitu"/>
    <w:link w:val="Nagwek7"/>
    <w:semiHidden/>
    <w:rsid w:val="00525C62"/>
    <w:rPr>
      <w:rFonts w:ascii="Times New Roman" w:eastAsia="Times New Roman" w:hAnsi="Times New Roman" w:cs="Times New Roman"/>
      <w:sz w:val="24"/>
      <w:szCs w:val="24"/>
      <w:lang w:val="x-none" w:eastAsia="x-none"/>
    </w:rPr>
  </w:style>
  <w:style w:type="character" w:customStyle="1" w:styleId="Nagwek8Znak">
    <w:name w:val="Nagłówek 8 Znak"/>
    <w:basedOn w:val="Domylnaczcionkaakapitu"/>
    <w:link w:val="Nagwek8"/>
    <w:semiHidden/>
    <w:rsid w:val="00525C62"/>
    <w:rPr>
      <w:rFonts w:ascii="Times New Roman" w:eastAsia="Times New Roman" w:hAnsi="Times New Roman" w:cs="Times New Roman"/>
      <w:i/>
      <w:iCs/>
      <w:sz w:val="24"/>
      <w:szCs w:val="24"/>
      <w:lang w:val="x-none" w:eastAsia="x-none"/>
    </w:rPr>
  </w:style>
  <w:style w:type="character" w:customStyle="1" w:styleId="Nagwek9Znak">
    <w:name w:val="Nagłówek 9 Znak"/>
    <w:basedOn w:val="Domylnaczcionkaakapitu"/>
    <w:link w:val="Nagwek9"/>
    <w:semiHidden/>
    <w:rsid w:val="00525C62"/>
    <w:rPr>
      <w:rFonts w:ascii="Arial" w:eastAsia="Times New Roman" w:hAnsi="Arial"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94676">
      <w:bodyDiv w:val="1"/>
      <w:marLeft w:val="0"/>
      <w:marRight w:val="0"/>
      <w:marTop w:val="0"/>
      <w:marBottom w:val="0"/>
      <w:divBdr>
        <w:top w:val="none" w:sz="0" w:space="0" w:color="auto"/>
        <w:left w:val="none" w:sz="0" w:space="0" w:color="auto"/>
        <w:bottom w:val="none" w:sz="0" w:space="0" w:color="auto"/>
        <w:right w:val="none" w:sz="0" w:space="0" w:color="auto"/>
      </w:divBdr>
    </w:div>
    <w:div w:id="367992299">
      <w:bodyDiv w:val="1"/>
      <w:marLeft w:val="0"/>
      <w:marRight w:val="0"/>
      <w:marTop w:val="0"/>
      <w:marBottom w:val="0"/>
      <w:divBdr>
        <w:top w:val="none" w:sz="0" w:space="0" w:color="auto"/>
        <w:left w:val="none" w:sz="0" w:space="0" w:color="auto"/>
        <w:bottom w:val="none" w:sz="0" w:space="0" w:color="auto"/>
        <w:right w:val="none" w:sz="0" w:space="0" w:color="auto"/>
      </w:divBdr>
    </w:div>
    <w:div w:id="659309042">
      <w:bodyDiv w:val="1"/>
      <w:marLeft w:val="0"/>
      <w:marRight w:val="0"/>
      <w:marTop w:val="0"/>
      <w:marBottom w:val="0"/>
      <w:divBdr>
        <w:top w:val="none" w:sz="0" w:space="0" w:color="auto"/>
        <w:left w:val="none" w:sz="0" w:space="0" w:color="auto"/>
        <w:bottom w:val="none" w:sz="0" w:space="0" w:color="auto"/>
        <w:right w:val="none" w:sz="0" w:space="0" w:color="auto"/>
      </w:divBdr>
    </w:div>
    <w:div w:id="205064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1374</Words>
  <Characters>8250</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Tobiasz</dc:creator>
  <cp:keywords/>
  <dc:description/>
  <cp:lastModifiedBy>Agnieszka Gorzoch</cp:lastModifiedBy>
  <cp:revision>4</cp:revision>
  <dcterms:created xsi:type="dcterms:W3CDTF">2021-08-25T17:03:00Z</dcterms:created>
  <dcterms:modified xsi:type="dcterms:W3CDTF">2021-08-30T09:58:00Z</dcterms:modified>
</cp:coreProperties>
</file>