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9F" w:rsidRPr="008320FC" w:rsidRDefault="00064B9F" w:rsidP="00064B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83206785"/>
      <w:r w:rsidRPr="008320FC">
        <w:rPr>
          <w:rFonts w:ascii="Arial" w:hAnsi="Arial" w:cs="Arial"/>
          <w:b/>
          <w:sz w:val="22"/>
          <w:szCs w:val="22"/>
        </w:rPr>
        <w:t>Rozeznanie cenowe na świadczenie usługi konferencyjnej (organizację i kompleksową obsługę konferencji w Warszawie)</w:t>
      </w:r>
    </w:p>
    <w:bookmarkEnd w:id="0"/>
    <w:p w:rsidR="00064B9F" w:rsidRPr="008320FC" w:rsidRDefault="00064B9F" w:rsidP="00064B9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320FC" w:rsidRPr="008320FC" w:rsidRDefault="00064B9F" w:rsidP="00064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 xml:space="preserve">w związku z realizacją projektu „Akademia Badań Klinicznych – rozwój kompetencji zespołów badawczych w podmiotach leczniczych świadczących usługi szpitalne oraz lekarzy zatrudnionych w placówkach podstawowej opieki zdrowotnej”, nr POWR.05.02.00-00-0008/19, realizowanego w ramach Programu Operacyjnego Wiedza Edukacja Rozwój 2014-2020 Oś Priorytetowa V Wsparcie dla obszaru zdrowia Działanie 5.2 Działania projakościowe i rozwiązania organizacyjne w systemie ochrony zdrowia ułatwiające dostęp do niedrogich, trwałych oraz wysokiej jakości usług zdrowotnych Agencja Badań Medycznych pragnie zaprosić Państwa do udziału w rozeznaniu cenowym na świadczenie usługi konferencyjnej (organizację i kompleksową obsługę konferencji w Warszawie). W związku z powyższym, zwracamy się do Państwa, z uprzejmą prośbą o przesyłanie kalkulacji cenowych w odniesieniu do wymagań zawartych w przedstawionym poniżej Opisie Przedmiotu Zamówienia oraz Formularzu Wartości Szacunkowej. Niezbędne informacje należy przesłać na załączonym Formularzu Wartości Szacunkowej do dnia </w:t>
      </w:r>
      <w:r w:rsidRPr="008320FC">
        <w:rPr>
          <w:rFonts w:ascii="Arial" w:hAnsi="Arial" w:cs="Arial"/>
          <w:b/>
          <w:sz w:val="22"/>
          <w:szCs w:val="22"/>
        </w:rPr>
        <w:t>01.10.2021 r.</w:t>
      </w:r>
      <w:r w:rsidRPr="008320FC">
        <w:rPr>
          <w:rFonts w:ascii="Arial" w:hAnsi="Arial" w:cs="Arial"/>
          <w:sz w:val="22"/>
          <w:szCs w:val="22"/>
        </w:rPr>
        <w:t xml:space="preserve"> do godz. </w:t>
      </w:r>
      <w:r w:rsidRPr="008320FC">
        <w:rPr>
          <w:rFonts w:ascii="Arial" w:hAnsi="Arial" w:cs="Arial"/>
          <w:b/>
          <w:sz w:val="22"/>
          <w:szCs w:val="22"/>
        </w:rPr>
        <w:t>12.00</w:t>
      </w:r>
      <w:r w:rsidRPr="008320FC">
        <w:rPr>
          <w:rFonts w:ascii="Arial" w:hAnsi="Arial" w:cs="Arial"/>
          <w:sz w:val="22"/>
          <w:szCs w:val="22"/>
        </w:rPr>
        <w:t xml:space="preserve"> na adres email: </w:t>
      </w:r>
      <w:hyperlink r:id="rId7" w:history="1">
        <w:r w:rsidRPr="008320FC">
          <w:rPr>
            <w:rStyle w:val="Hipercze"/>
            <w:rFonts w:ascii="Arial" w:hAnsi="Arial" w:cs="Arial"/>
            <w:sz w:val="22"/>
            <w:szCs w:val="22"/>
          </w:rPr>
          <w:t>power@abm.gov.pl</w:t>
        </w:r>
      </w:hyperlink>
      <w:r w:rsidRPr="008320FC">
        <w:rPr>
          <w:rFonts w:ascii="Arial" w:hAnsi="Arial" w:cs="Arial"/>
          <w:sz w:val="22"/>
          <w:szCs w:val="22"/>
        </w:rPr>
        <w:t>. Przedmiotowe zapytanie ma charakter szacowania wartości, nie zostanie zakończone wyborem oferty oraz nie stanowi zaproszenia do składania ofert w rozumieniu art. 66 Kodeksu cywilnego. Tym samym nie zobowiązuje Zamawiającego do zawarcia umowy, czy też udzielenia zamówienia i nie stanowi części procedury udzielania zamówienia publicznego realizowanego na podstawie ustawy Prawo zamówień publicznych. W sytuacji, gdy Agencja Badań Medycznych przystąpi do realizacji procedury udzielenia zamówienia publicznego, skutkować będzie to zaproszeniem Państwa do złożenia oferty na realizację usługi.</w:t>
      </w:r>
    </w:p>
    <w:p w:rsidR="00531953" w:rsidRPr="008320FC" w:rsidRDefault="00531953" w:rsidP="00531953">
      <w:pPr>
        <w:rPr>
          <w:rFonts w:ascii="Arial" w:hAnsi="Arial" w:cs="Arial"/>
          <w:sz w:val="22"/>
          <w:szCs w:val="22"/>
        </w:rPr>
      </w:pPr>
    </w:p>
    <w:p w:rsidR="008320FC" w:rsidRPr="008320FC" w:rsidRDefault="008320FC" w:rsidP="008320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20FC">
        <w:rPr>
          <w:rFonts w:ascii="Arial" w:hAnsi="Arial" w:cs="Arial"/>
          <w:b/>
          <w:sz w:val="22"/>
          <w:szCs w:val="22"/>
        </w:rPr>
        <w:t>OPIS PRZEDMIOTU ZAMÓWIENIA</w:t>
      </w:r>
    </w:p>
    <w:p w:rsidR="008320FC" w:rsidRPr="008320FC" w:rsidRDefault="008320FC" w:rsidP="008320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20FC">
        <w:rPr>
          <w:rFonts w:ascii="Arial" w:hAnsi="Arial" w:cs="Arial"/>
          <w:b/>
          <w:sz w:val="22"/>
          <w:szCs w:val="22"/>
        </w:rPr>
        <w:t>na świadczenie usługi konferencyjnej (organizację i kompleksową obsługę konferencji w Warszawie)</w:t>
      </w:r>
    </w:p>
    <w:p w:rsidR="008320FC" w:rsidRPr="008320FC" w:rsidRDefault="008320FC" w:rsidP="00832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320F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PRZEDMIOT ZAMÓWIENIA</w:t>
      </w:r>
    </w:p>
    <w:p w:rsidR="008320FC" w:rsidRPr="008320FC" w:rsidRDefault="008320FC" w:rsidP="008320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Przedmiotem zamówienia jest organizacja oraz kompleksowa obsługa logistyczna i merytoryczna konferencji dla prawników realizowanej w ramach projektu „Akademia Badań Klinicznych – rozwój kompetencji zespołów badawczych w podmiotach leczniczych świadczących usługi szpitalne oraz lekarzy zatrudnionych w placówkach podstawowej opieki zdrowotnej” w ramach Programu Operacyjnego Wiedza Edukacja Rozwój 2014-2020 Oś Priorytetowa V Wsparcie dla obszaru zdrowia Działanie 5.2 Działania projakościowe i rozwiązania organizacyjne w systemie ochrony zdrowia ułatwiające dostęp do niedrogich, trwałych oraz wysokiej jakości usług zdrowotnych.</w:t>
      </w:r>
    </w:p>
    <w:p w:rsidR="008320FC" w:rsidRPr="008320FC" w:rsidRDefault="008320FC" w:rsidP="008320FC">
      <w:pPr>
        <w:pStyle w:val="Akapitzlist"/>
        <w:spacing w:line="276" w:lineRule="auto"/>
        <w:ind w:left="1080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Przedmiot zamówienia obejmuje świadczenie jednodniowej usługi gastronomiczno-konferencyjnej w 25 listopada 2021 r., w szczególności: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Zapewnienie miejsca konferencji.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Zapewnienie sali konferencyjnej wraz z wyposażeniem i obsługa techniczną.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Zapewnienie personelu do obsługi wydarzenia.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Przygotowanie projektów, wykonanie i dostawa materiałów konferencyjnych.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Zapewnienie wyżywienia.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Przeprowadzenie procesu rekrutacji uczestników.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Wyłonienie prelegentów.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Moderowanie konferencji przez profesjonalnego konferansjera, który posiada doświadczenie przy obsłudze wydarzeń z sektora ochrony zdrowia (zapowiadanie prelegentów, zarządzanie przerwami itd.).</w:t>
      </w:r>
    </w:p>
    <w:p w:rsidR="008320FC" w:rsidRPr="008320FC" w:rsidRDefault="008320FC" w:rsidP="008320FC">
      <w:pPr>
        <w:pStyle w:val="Akapitzlist"/>
        <w:spacing w:line="276" w:lineRule="auto"/>
        <w:ind w:left="1800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Zamawiający zaznacza, że jeśli ze względu na sytuację epidemiologiczną konferencja nie będzie mogła odbyć się w trybie stacjonarnym, Wykonawca jest zobowiązany zorganizować konferencję w trybie online.</w:t>
      </w:r>
    </w:p>
    <w:p w:rsidR="008320FC" w:rsidRPr="008320FC" w:rsidRDefault="008320FC" w:rsidP="008320FC">
      <w:pPr>
        <w:pStyle w:val="Akapitzlist"/>
        <w:spacing w:line="276" w:lineRule="auto"/>
        <w:ind w:left="1077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Kod i nazwa zamówienia określone we Wspólnym Słowniku Zamówień (CPV):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55120000-7 – Usługi hotelarskie w zakresie spotkań i konferencji.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55300000-3 – Usługi restauracyjne i dotyczące podawania posiłków.</w:t>
      </w:r>
    </w:p>
    <w:p w:rsidR="008320FC" w:rsidRPr="008320FC" w:rsidRDefault="008320FC" w:rsidP="008320F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80561000-4 – Usługi szkolenia w dziedzinie zdrowia.</w:t>
      </w:r>
    </w:p>
    <w:p w:rsidR="008320FC" w:rsidRPr="008320FC" w:rsidRDefault="008320FC" w:rsidP="008320FC">
      <w:pPr>
        <w:pStyle w:val="Akapitzlist"/>
        <w:spacing w:line="276" w:lineRule="auto"/>
        <w:ind w:left="1800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Zamawiający zastrzega sobie możliwość zmiany przewidywanego terminu realizacji konferencji, o którym mowa w pkt 2, najpóźniej na 10 dni przed przewidzianym terminem. W takim przypadku zmiana terminu spotkania zostanie zgłoszona Wykonawcy pocztą elektroniczną (na adres e-mail osoby wskazanej w umowie do kontaktów ze strony Wykonawcy).</w:t>
      </w:r>
    </w:p>
    <w:p w:rsidR="008320FC" w:rsidRPr="008320FC" w:rsidRDefault="008320FC" w:rsidP="008320FC">
      <w:pPr>
        <w:pStyle w:val="Akapitzlist"/>
        <w:spacing w:line="276" w:lineRule="auto"/>
        <w:ind w:left="1077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Zamawiający przewiduje realizację konferencji dla maksymalnie 120 osób, przy czym przewidywana, szacunkowa liczba uczestników może okazać się mniejsza niż podana powyżej (maksymalnie o 15%), w tym 100 uczestników konferencji (prawników) i maksymalnie 5 prelegentów zrekrutowanych przez Wykonawcę oraz 15 uczestników wskazanych przez Zamawiającego.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 przypadku, gdy w konferencji weźmie udział mniejsza liczba osób niż szacowana, wynagrodzenie Wykonawcy zostanie odpowiednio pomniejszone o kwotę stanowiącą iloczyn osób odpowiednio nieuczestniczących w konferencji oraz średniego kosztu wyżywienia dla jednej osoby, według stawek wynikających z oferty Wykonawcy. </w:t>
      </w:r>
    </w:p>
    <w:p w:rsidR="008320FC" w:rsidRPr="008320FC" w:rsidRDefault="008320FC" w:rsidP="008320FC">
      <w:pPr>
        <w:pStyle w:val="Akapitzlist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lastRenderedPageBreak/>
        <w:t xml:space="preserve">Zamawiający poinformuje Wykonawcę o ostatecznej liczbie uczestników wskazanych przez Zamawiającego spośród 15, o których mowa w pkt. 6 OPZ biorących udział w konferencji w terminie 5 dni przed datą rozpoczęcia konferencji. 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Lista osób, które zgłosi Zamawiający zostanie przekazana Wykonawcy w ww. terminie za pośrednictwem osób wyznaczonych do kontaktu.</w:t>
      </w:r>
    </w:p>
    <w:p w:rsidR="008320FC" w:rsidRPr="008320FC" w:rsidRDefault="008320FC" w:rsidP="008320FC">
      <w:pPr>
        <w:pStyle w:val="Akapitzlist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poinformuje Zamawiającego o ostatecznej liczbie zrekrutowanych uczestników (prawników) spośród 100, o których mowa w pkt 6 OPZ czynnie biorących udział w konferencji.  najpóźniej w terminie 5 dni przed datą rozpoczęcia konferencji.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Ustalona pomiędzy Stronami, w terminie, o którym mowa powyżej liczba osób zrekrutowanych przez Wykonawcę oraz zgłoszoną przez Zamawiającego będzie stanowić faktyczną liczbę osób korzystających z usługi, a tym samym będzie stanowić podstawę rozliczeń między Wykonawcą a Zamawiającym.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przekaże szczegółową informację określającą miejsce i sposób organizacji konferencji w Ofercie Wykonawcy.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Sala restauracyjna, w której podawane będą posiłki, miejsce, w którym będą organizowane przerwy kawowe oraz sala konferencyjna muszą znajdować się w tym samym obiekcie, a przejście pomiędzy nimi musi być dostosowane do potrzeb osób z niepełnosprawnością. </w:t>
      </w:r>
    </w:p>
    <w:p w:rsidR="008320FC" w:rsidRPr="008320FC" w:rsidRDefault="008320FC" w:rsidP="008320FC">
      <w:pPr>
        <w:pStyle w:val="Akapitzlist"/>
        <w:spacing w:line="276" w:lineRule="auto"/>
        <w:ind w:left="1080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8320FC">
        <w:rPr>
          <w:rFonts w:ascii="Arial" w:eastAsia="Calibri" w:hAnsi="Arial" w:cs="Arial"/>
          <w:b/>
          <w:sz w:val="22"/>
          <w:szCs w:val="22"/>
        </w:rPr>
        <w:t>WYMAGANIA SZCZEGÓŁOWE DOTYCZĄCE PRZEDMIOTU ZAMÓWIENIA</w:t>
      </w: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Ramowy program konferencji: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08:50 – 09:20 Rejestracja uczestników, odbiór materiałów i pakietu uczestnika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09:20 – 09:30 Rozpoczęcie konferencji, powitanie uczestników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09:30 – 11:00 Badania kliniczne produktów leczniczych – co się zmieni po rozpoczęciu stosowania CTR? (ROZPORZĄDZENIE PARLAMENTU EUROPEJSKIEGO I RADY (UE) NR 536/2014 z dnia 16 kwietnia 2014 r. w sprawie badań klinicznych produktów leczniczych stosowanych u ludzi oraz uchylenia dyrektywy 2001/20/WE) 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11:00 – 11:15 Przerwa kawowa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11:15 – 12:45 Ustawa o badaniach klinicznych produktów leczniczych – omówienie najistotniejszych projektowanych koncepcji (system oceny etycznej, system gwarancyjny). 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12:45 – 13.45 Obiad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13:45 – 15:15 </w:t>
      </w:r>
      <w:bookmarkStart w:id="1" w:name="_Hlk82169275"/>
      <w:r w:rsidRPr="008320FC">
        <w:rPr>
          <w:rFonts w:ascii="Arial" w:eastAsia="Calibri" w:hAnsi="Arial" w:cs="Arial"/>
          <w:sz w:val="22"/>
          <w:szCs w:val="22"/>
        </w:rPr>
        <w:t>Umowa na badanie kliniczne. Tworzenie umowy trójstronnej i negocjacje jej postanowień.</w:t>
      </w:r>
    </w:p>
    <w:bookmarkEnd w:id="1"/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lastRenderedPageBreak/>
        <w:t>15:15 – 15:30 Przerwa kawowa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15:30 – 16:30 Wpływ ustawy z dnia 16 lipca 2020 r. o zmianie ustawy o zawodach lekarza i lekarza dentysty oraz niektórych innych ustaw (Dz.U. z 2020 r. poz. 1291) na prowadzenie badań klinicznych w Polsce. 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16:30 – 17:30 Wynagrodzenie oraz rekompensata poniesionych kosztów dla uczestników badania klinicznego.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17:30 Zakończenie konferencji</w:t>
      </w: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8320FC">
        <w:rPr>
          <w:rFonts w:ascii="Arial" w:eastAsia="Calibri" w:hAnsi="Arial" w:cs="Arial"/>
          <w:sz w:val="22"/>
          <w:szCs w:val="22"/>
        </w:rPr>
        <w:t>Zapewnienie miejsca konferencji: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Obiekt konferencyjny, w którym zostanie zrealizowana usługa, o której mowa w pkt. I. 2. zlokalizowany będzie w centrum Warszawy, w odległości maksymalnej 5 km od Dworca Warszawa Centralna, z bezpośrednim połączeniem środkami komunikacji miejskiej z Dworca Warszawa Centralna, bez konieczności dokonywania przesiadki (maksymalna odległość do przystanku bezpośredniego połączenia to 500 m, zgodnie z https://maps.google.com/).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Zaproponowany obiekt powinien spełniać wysokie standardy, w szczególności w odniesieniu do czystości całego obiektu, czystości i sprawności infrastruktury i stanu technicznego budynku, stopnia zużycia elementów wyposażenia. W przypadku zaproponowania przez Wykonawcę obiektu hotelowego, kategoria obiektu powinna odpowiadać standardowi trzygwiazdkowemu zgodnie z rozporządzeniem Ministra Gospodarki i Pracy z dnia 19 sierpnia 2004 r. w sprawie obiektów hotelarskich i innych obiektów, w których są świadczone usługi hotelarskie (Dz. U. z 2017 r. poz. 2166).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Zamawiający zastrzega, iż obiekt konferencyjny nie może znajdować się w trakcie remontu/przebudowy.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Jeżeli obiekt konferencyjny składa się z części zmodernizowanej (po remoncie) lub nowej oraz części niezmodernizowanej, Wykonawca w pierwszej kolejności zapewni Zamawiającemu dostęp do części zmodernizowanej lub nowej.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 obiekcie konferencyjnym zapewniony będzie bezpłatny, bezpieczny dostęp do Internetu. 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zapewni ochronę obiektu przez cały czas trwania konferencji.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Wykonawca na terenie obiektu zapewni przestrzeń, którą zaaranżuje pod stoisko recepcyjne, przy czym wielkość stoiska recepcyjnego dostosowana będzie do obsługi 120 osób. 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 xml:space="preserve">Zamawiający wymaga, aby dla uczestników konferencji bezpłatnie została udostępniona szatnia </w:t>
      </w:r>
      <w:r w:rsidRPr="008320FC">
        <w:rPr>
          <w:rFonts w:ascii="Arial" w:eastAsia="Calibri" w:hAnsi="Arial" w:cs="Arial"/>
          <w:sz w:val="22"/>
          <w:szCs w:val="22"/>
        </w:rPr>
        <w:t xml:space="preserve">do przechowywania walizek i okryć wierzchnich </w:t>
      </w:r>
      <w:r w:rsidRPr="008320FC">
        <w:rPr>
          <w:rFonts w:ascii="Arial" w:hAnsi="Arial" w:cs="Arial"/>
          <w:sz w:val="22"/>
          <w:szCs w:val="22"/>
        </w:rPr>
        <w:t>z pełną obsługą.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>Zamawiający bezwzględnie wymaga, aby miejsce świadczenia usługi – sala konferencyjna, sala restauracyjna, sanitariaty/łazienki, były czyste i bez uszkodzeń. Nie dopuszcza się: brudnych/poplamionych/zniszczonych i uszkodzonych wykładzin podłogowych/ dywanowych, ścian, mebli i wyposażenia.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>Zaplecze sanitarne, szatnia dla uczestników konferencji, miejsce na recepcję oraz na stanowiska dla wystawców muszą znajdować się w bezpośrednim sąsiedztwie danej sali konferencyjnej.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lastRenderedPageBreak/>
        <w:t>Miejsce konferencji musi być środowiskiem wolnym od barier komunikacyjnych i dostępnym dla osób niepełnosprawnych.</w:t>
      </w:r>
    </w:p>
    <w:p w:rsidR="008320FC" w:rsidRPr="008320FC" w:rsidRDefault="008320FC" w:rsidP="008320F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>Wykonawca zobowiązany jest do podania w ofercie informacji na temat proponowanego miejsca konferencji, spełniającego ww. wymagania Zamawiającego (nazwa i adres obiektu, potwierdzenie wstępnej rezerwacji z hotelu, potwierdzenie pojemności sali konferencyjnej).</w:t>
      </w:r>
    </w:p>
    <w:p w:rsidR="008320FC" w:rsidRPr="008320FC" w:rsidRDefault="008320FC" w:rsidP="008320FC">
      <w:pPr>
        <w:pStyle w:val="Akapitzlist"/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 Zapewnienie sali konferencyjnej wraz z wyposażeniem i obsługą techniczną: 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zapewni klimatyzowaną salę konferencyjną na około 120 osób, w obiekcie z infrastrukturą (np. winda, podjazdy, sanitariaty) dostosowaną do potrzeb osób z niepełnosprawnością i umożliwiającą dostęp do sali konferencyjnej.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</w:pPr>
      <w:r w:rsidRPr="008320FC">
        <w:rPr>
          <w:rFonts w:ascii="Arial" w:hAnsi="Arial" w:cs="Arial"/>
          <w:sz w:val="22"/>
          <w:szCs w:val="22"/>
        </w:rPr>
        <w:t xml:space="preserve">Wielkość sali szkoleniowej będzie wystarczająca, aby dostosować liczbę miejsc siedzących do liczby uczestników konferencji oraz wymaganego ustawienia sali, przy zachowaniu obowiązujących w terminie realizacji wydarzenia wytycznych dla organizatorów spotkań biznesowych, szkoleń, konferencji i kongresów w trakcie epidemii SARS-CoV-2 zamieszczonych na stronie www Ministerstwa Rozwoju: </w:t>
      </w:r>
      <w:hyperlink r:id="rId8" w:history="1">
        <w:r w:rsidRPr="008320F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https://www.gov.pl/web/rozwoj/spotkania-biznesowe-szkolenia-konferencje-i-kongresy</w:t>
        </w:r>
      </w:hyperlink>
      <w:r w:rsidRPr="008320F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Ostateczna aranżacja sali będzie ustalana z Wykonawcą po podpisaniu umowy, jednak sala, w której będzie odbywać się konferencja, powinna umożliwiać ustawienie krzeseł w systemie teatralnym oraz powinna również zapewniać możliwość ustawienia stolików oraz krzeseł przeznaczonych do zaaranżowania panelu dyskusyjnego przewidzianego w ramach konferencji.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w ramach realizacji konferencji zapewni warunki zgodne z przepisami bezpieczeństwa i higieny pracy (wymóg dotyczy w szczególności wykorzystywanego sprzętu komputerowego, jak też pozostałego sprzętu, oświetlenia oraz wymiany powietrza).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w ramach realizacji konferencji zapewni personel mający za zadanie obsługę techniczną sali konferencyjnej w zakresie wymaganym dla prawidłowego, sprawnego i bezawaryjnego działania znajdującego się w niej sprzętu. Personel będzie dostępny co najmniej 2 godziny przed rozpoczęciem konferencji i w trakcie jej trwania, aż do zakończenia.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Wykonawca zapewni Zamawiającemu dostęp do sali konferencyjnej w celu jej aranżacji i przeprowadzenia testów prawidłowego działania urządzeń multimedialnych najpóźniej od godz. 16.00 w przeddzień konferencji. 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 dniu konferencji sala konferencyjna wyposażona zgodnie z wymaganiami określonymi w pkt 3 OPZ musi być dostępna co najmniej 2 godziny przed rozpoczęciem konferencji oraz przez cały czas trwania spotkania. 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Wymagania ogólne dotyczące sali konferencyjnej: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Sala konferencyjna wyposażona będzie w system klimatyzacji z możliwością regulacji temperatury.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Sala konferencyjna będzie miała zapewniony dostęp do światła dziennego z możliwością zaciemnienia.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lastRenderedPageBreak/>
        <w:t>Sala usytuowana w sposób zapewniający możliwość przeprowadzenia konferencji bez zakłóceń ze strony innych osób, nie biorących w niej udziału.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Sala bez barier architektonicznych ograniczających widoczność i utrudniających poruszanie się osobom z niepełnosprawnościami.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wykorzysta wyposażenie oferowanej sali, w której będzie realizowana konferencja, w</w:t>
      </w:r>
      <w:r>
        <w:rPr>
          <w:rFonts w:ascii="Arial" w:eastAsia="Calibri" w:hAnsi="Arial" w:cs="Arial"/>
          <w:sz w:val="22"/>
          <w:szCs w:val="22"/>
        </w:rPr>
        <w:t> </w:t>
      </w:r>
      <w:r w:rsidRPr="008320FC">
        <w:rPr>
          <w:rFonts w:ascii="Arial" w:eastAsia="Calibri" w:hAnsi="Arial" w:cs="Arial"/>
          <w:sz w:val="22"/>
          <w:szCs w:val="22"/>
        </w:rPr>
        <w:t xml:space="preserve">zakresie nagłośnienia, oświetlenia i wyposażenia multimedialnego oraz uzupełni o brakujące elementy, tak, aby ostatecznie zapewnić poniższe zapotrzebowanie: 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Nagłośnienie oraz co najmniej 3 mikrofony bezprzewodowe.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Komputer przenośny wyposażony w podstawowe oprogramowanie biurowe MS Office, wraz z programem do odtwarzania prezentacji multimedialnych.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Drukarka na sali konferencyjnej lub możliwość dostępu do drukarki w obiekcie konferencyjnym przez cały czas trwania konferencji.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Projektor multimedialny wraz z ekranem projekcyjnym.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Możliwość podłączenia komputera prelegenta/ów do projektora multimedialnego zapewnionego przez Wykonawcę.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Możliwość podłączenia laptopów do zasilania oraz bezpłatny dostęp do bezprzewodowego Internetu z każdego miejsca w sali, dla każdego z prelegentów.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Pilot do zmieniania slajdów.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Wskaźnik laserowy.</w:t>
      </w:r>
    </w:p>
    <w:p w:rsidR="008320FC" w:rsidRPr="008320FC" w:rsidRDefault="008320FC" w:rsidP="008320F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Zapewnienie personelu</w:t>
      </w:r>
      <w:r w:rsidRPr="008320FC">
        <w:rPr>
          <w:rFonts w:ascii="Arial" w:eastAsia="Calibri" w:hAnsi="Arial" w:cs="Arial"/>
          <w:b/>
          <w:sz w:val="22"/>
          <w:szCs w:val="22"/>
        </w:rPr>
        <w:t>: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>Wykonawca zapewni co najmniej: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 xml:space="preserve">Dwie osoby odpowiedzialne za stoisko recepcyjne i rejestrację uczestników. 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>Menedżera konferencji do bezpośredniego kontaktu z Zamawiającym (w miejscu świadczenia usługi).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hAnsi="Arial" w:cs="Arial"/>
          <w:sz w:val="22"/>
          <w:szCs w:val="22"/>
        </w:rPr>
        <w:t>Jedną osobę do wsparcia technicznego/informatycznego w sali konferencyjnej.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Do obowiązków osób obsługujących recepcję będzie należała: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Rejestracja uczestników (zbieranie podpisów na liście obecności).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Rozdawanie identyfikatorów z danymi uczestników oraz pakietów materiałów konferencyjnych wraz z programem konferencji.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Udzielanie podstawowych informacji uczestnikom konferencji - w przypadku problemów w tym zakresie osoba obsługująca recepcję powinna kierować uczestników do przedstawiciela Zamawiającego.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Ścisła współpraca z przedstawicielem Zamawiającego przez cały czas trwania konferencji.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Strój osób obsługujących recepcję powinien być dostosowany do rangi wydarzenia jakim jest konferencja organizowana przez Agencję Badań Medycznych tj.</w:t>
      </w:r>
      <w:r w:rsidRPr="008320FC">
        <w:rPr>
          <w:rFonts w:ascii="Arial" w:hAnsi="Arial" w:cs="Arial"/>
          <w:sz w:val="22"/>
          <w:szCs w:val="22"/>
        </w:rPr>
        <w:t xml:space="preserve"> </w:t>
      </w:r>
      <w:r w:rsidRPr="008320FC">
        <w:rPr>
          <w:rFonts w:ascii="Arial" w:eastAsia="Calibri" w:hAnsi="Arial" w:cs="Arial"/>
          <w:sz w:val="22"/>
          <w:szCs w:val="22"/>
        </w:rPr>
        <w:t>schludny, biała, wyprasowana koszula lub bluzka, ciemne: granatowe albo czarne spodnie/spódnica.</w:t>
      </w:r>
    </w:p>
    <w:p w:rsidR="008320FC" w:rsidRPr="008320FC" w:rsidRDefault="008320FC" w:rsidP="008320FC">
      <w:pPr>
        <w:pStyle w:val="Akapitzlist"/>
        <w:spacing w:line="276" w:lineRule="auto"/>
        <w:ind w:left="1797"/>
        <w:jc w:val="both"/>
        <w:rPr>
          <w:rFonts w:ascii="Arial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Przygotowanie projektów, wykonanie i dostawa materiałów konferencyjnych: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lastRenderedPageBreak/>
        <w:t>Wykonawca zobowiązany będzie do zaprojektowania, przedłożenia do zatwierdzenia, a następnie wykonania kompletu materiałów konferencyjnych w ilości odpowiadającej liczbie uczestników. Ostateczna liczba sztuk zostanie uzgodniona pomiędzy Stronami najpóźniej w terminie 5 dni przed datą rozpoczęcia konferencji, składających się z: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Długopisu dla każdego uczestnika konferencji, </w:t>
      </w:r>
      <w:r w:rsidRPr="008320FC">
        <w:rPr>
          <w:rFonts w:ascii="Arial" w:hAnsi="Arial" w:cs="Arial"/>
          <w:sz w:val="22"/>
          <w:szCs w:val="22"/>
        </w:rPr>
        <w:t>wykonanego</w:t>
      </w:r>
      <w:r w:rsidRPr="008320FC">
        <w:rPr>
          <w:rFonts w:ascii="Arial" w:eastAsia="Calibri" w:hAnsi="Arial" w:cs="Arial"/>
          <w:sz w:val="22"/>
          <w:szCs w:val="22"/>
        </w:rPr>
        <w:t xml:space="preserve"> z metalu np. aluminium, wymienny wkład w kolorze niebieskim.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Kartek do notowania - format A4 (minimum po 60 kartek dla każdego z uczestników konferencji); przy czym wzór papieru firmowego do wykorzystania Wykonawca otrzyma od Zamawiającego. Wykonawca ma obowiązek zastosować przekazany wzór na kartkach do notowania.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Deski z klipem - format A4 z możliwością wpięcia kartek do notowania dla każdego z uczestników konferencji. Deska z klipem powinna zostać opatrzona przez Wykonawcę logotypami marki Funduszy Europejskich oraz Ministerstwa Zdrowia. Zamawiający dopuszcza oklejenie materiału z zachowaniem wymogów wytycznych dotyczących oznakowania; Zamawiający informuje, że: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Szczegóły dotyczące prawidłowego oznakowania materiałów znajdują się w Księdze Identyfikacji Wizualnej znaku marki Fundusze Europejskie i znaków programów polityki spójności na lata 2014-2020 (</w:t>
      </w:r>
      <w:hyperlink r:id="rId9" w:history="1">
        <w:r w:rsidRPr="008320FC">
          <w:rPr>
            <w:rStyle w:val="Hipercze"/>
            <w:rFonts w:ascii="Arial" w:eastAsia="Calibri" w:hAnsi="Arial" w:cs="Arial"/>
            <w:color w:val="auto"/>
            <w:sz w:val="22"/>
            <w:szCs w:val="22"/>
            <w:u w:val="none"/>
          </w:rPr>
          <w:t>http://www.power.gov.pl/strony/o-programie/promocja/zasady-promocji-i-oznakowania-projektow-w-programie/zasady-promocji-i-oznakowania-projektow-w-programie-umowy-podpisane-od-1-stycznia-2018-roku/</w:t>
        </w:r>
      </w:hyperlink>
      <w:r w:rsidRPr="008320FC">
        <w:rPr>
          <w:rFonts w:ascii="Arial" w:eastAsia="Calibri" w:hAnsi="Arial" w:cs="Arial"/>
          <w:sz w:val="22"/>
          <w:szCs w:val="22"/>
        </w:rPr>
        <w:t>).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Księga znaku Ministerstwa Zdrowia zostanie przekazana do Wykonawcy niezwłocznie po zawarciu umowy.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Identyfikatorów dla każdego uczestnika konferencji: 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Identyfikatory mogą być wykonane w jednej z dwóch opcji: </w:t>
      </w:r>
    </w:p>
    <w:p w:rsidR="008320FC" w:rsidRPr="008320FC" w:rsidRDefault="008320FC" w:rsidP="008320F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wydrukowane na sztywnym papierze z laminowaniem (gramatura papieru: 250- 300g/m2) lub innym twardym tworzywie, przy czym w obu przypadkach identyfikator powinien być wykonany w sposób umożliwiający jego zamocowanie do smyczy bez konieczności zastosowania etui; </w:t>
      </w:r>
    </w:p>
    <w:p w:rsidR="008320FC" w:rsidRPr="008320FC" w:rsidRDefault="008320FC" w:rsidP="008320F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na miękkim papierze z koniecznością zastosowania etui na identyfikator umożliwiającego zamocowanie go do smyczy (smycze zapewnia Zamawiający).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Jednostronny, biały identyfikator będzie zawierał: </w:t>
      </w:r>
    </w:p>
    <w:p w:rsidR="008320FC" w:rsidRPr="008320FC" w:rsidRDefault="008320FC" w:rsidP="008320F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tytuł konferencji i data konferencji (opcjonalnie);</w:t>
      </w:r>
    </w:p>
    <w:p w:rsidR="008320FC" w:rsidRPr="008320FC" w:rsidRDefault="008320FC" w:rsidP="008320F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informację „Uczestnik konferencji”;</w:t>
      </w:r>
    </w:p>
    <w:p w:rsidR="008320FC" w:rsidRPr="008320FC" w:rsidRDefault="008320FC" w:rsidP="008320F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logotyp marki Funduszy Europejskich oraz logotyp Ministerstwa Zdrowia (przy czym Wykonawca zobowiązany jest do przedstawienia Zamawiającemu wzoru identyfikatora do </w:t>
      </w:r>
      <w:r w:rsidRPr="008320FC">
        <w:rPr>
          <w:rFonts w:ascii="Arial" w:eastAsia="Calibri" w:hAnsi="Arial" w:cs="Arial"/>
          <w:sz w:val="22"/>
          <w:szCs w:val="22"/>
        </w:rPr>
        <w:lastRenderedPageBreak/>
        <w:t>akceptacji, a w razie uwag Zamawiającego Wykonawca jest zobowiązany je uwzględnić).</w:t>
      </w:r>
    </w:p>
    <w:p w:rsidR="008320FC" w:rsidRPr="008320FC" w:rsidRDefault="008320FC" w:rsidP="008320F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potwierdzi z Zamawiającym zapotrzebowanie na liczbę identyfikatorów najpóźniej 4 dni przez terminem realizacji konferencji, dodatkowo Wykonawca zapewni 10 identyfikatorów in-blanco.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Jednej ryzy papieru - format A4.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Oznaczenie dojścia do sali konferencyjnej:</w:t>
      </w:r>
    </w:p>
    <w:p w:rsidR="008320FC" w:rsidRPr="008320FC" w:rsidRDefault="008320FC" w:rsidP="008320FC">
      <w:pPr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Informacja z nazwą konferencji, </w:t>
      </w:r>
      <w:proofErr w:type="gramStart"/>
      <w:r w:rsidRPr="008320FC">
        <w:rPr>
          <w:rFonts w:ascii="Arial" w:eastAsia="Calibri" w:hAnsi="Arial" w:cs="Arial"/>
          <w:sz w:val="22"/>
          <w:szCs w:val="22"/>
        </w:rPr>
        <w:t>ze</w:t>
      </w:r>
      <w:proofErr w:type="gramEnd"/>
      <w:r w:rsidRPr="008320FC">
        <w:rPr>
          <w:rFonts w:ascii="Arial" w:eastAsia="Calibri" w:hAnsi="Arial" w:cs="Arial"/>
          <w:sz w:val="22"/>
          <w:szCs w:val="22"/>
        </w:rPr>
        <w:t xml:space="preserve"> wskazaniem numeru/nazwy sali, piętra, skrzydła obiektu konferencyjnego, budynku i kierunku dojścia powinna być umieszczona co najmniej w trzech miejscach: przy wejściu do obiektu, w recepcji obiektu oraz przed wejściem do Sali konferencyjnej. 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Informacja powinna być umieszczona na stojaku informacyjnym/ekranie/banerze/gablocie/tabliczce informacyjnej lub innym ogólnodostępnym i widocznym nośniku informacji zapewnionym przez Wykonawcę. 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Informację powinna stanowić kartka niepowlekanego papieru o gramaturze 360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gsm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 xml:space="preserve"> lub większej w formacie A3 lub większym, z nadrukowanymi informacjami, o których mowa w pkt. 5.2.1. OPZ oraz z logotypami, o których mowa w pkt. 5.1.3. OPZ.  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Wszystkie niewykorzystane na konferencji materiały konferencyjne dla uczestników, identyfikatory, itp. Wykonawca dostarczy do siedziby Zamawiającego (Warszawa, ul. Stanisława Moniuszki 1A) w</w:t>
      </w:r>
      <w:r>
        <w:rPr>
          <w:rFonts w:ascii="Arial" w:eastAsia="Calibri" w:hAnsi="Arial" w:cs="Arial"/>
          <w:sz w:val="22"/>
          <w:szCs w:val="22"/>
        </w:rPr>
        <w:t> </w:t>
      </w:r>
      <w:r w:rsidRPr="008320FC">
        <w:rPr>
          <w:rFonts w:ascii="Arial" w:eastAsia="Calibri" w:hAnsi="Arial" w:cs="Arial"/>
          <w:sz w:val="22"/>
          <w:szCs w:val="22"/>
        </w:rPr>
        <w:t>terminie do 2 dni od zakończenia konferencji, chyba, że na etapie realizacji Umowy Strony postanowią inaczej.</w:t>
      </w:r>
    </w:p>
    <w:p w:rsidR="008320FC" w:rsidRPr="008320FC" w:rsidRDefault="008320FC" w:rsidP="008320FC">
      <w:pPr>
        <w:pStyle w:val="Akapitzlist"/>
        <w:spacing w:line="276" w:lineRule="auto"/>
        <w:ind w:left="1418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Zapewnienie wyżywienia dla około 120 osób: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Wykonawca zapewni, że posiłki będą wydawane w tej samej lokalizacji co konferencja, tj. w jednym obiekcie oraz przygotowywane na miejscu. Przy czym, serwis kawowy oraz obiad będą serwowane zgodnie z wytycznymi znajdującymi się na stronie https://www.gov.pl/web/rozwoj/wytyczne-dla-branz. 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zapewni świadczenie usługi gastronomicznej dla uczestników w formie: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u w:val="dotted"/>
          <w:lang w:eastAsia="pl-PL"/>
        </w:rPr>
        <w:t>Serwisu kawowego: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 systemie ciągłym podczas całej konferencji.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zapewni zastawę ceramiczną (filiżanki, talerzyki), szklanki oraz widelczyki i łyżeczki nie jednorazowego użytku, a także papierowe serwetki.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Serwis kawowy powinien być nielimitowany, uzupełniany na bieżąco podczas trwania konferencji oraz co najmniej 0,5 godziny przed godziną rozpoczęcia konferencji, według podanego poniżej asortymentu (dotyczy całości serwisu):</w:t>
      </w:r>
    </w:p>
    <w:p w:rsidR="008320FC" w:rsidRPr="008320FC" w:rsidRDefault="008320FC" w:rsidP="008320F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kawa z ekspresu ciśnieniowego (liczba ekspresów powinna zostać dostosowana do liczby uczestników);</w:t>
      </w:r>
    </w:p>
    <w:p w:rsidR="008320FC" w:rsidRPr="008320FC" w:rsidRDefault="008320FC" w:rsidP="008320F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warnik z gorącą wodą (liczba warników powinna zostać dostosowana do liczby uczestników);</w:t>
      </w:r>
    </w:p>
    <w:p w:rsidR="008320FC" w:rsidRPr="008320FC" w:rsidRDefault="008320FC" w:rsidP="008320F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lastRenderedPageBreak/>
        <w:t>herbata (ekspresowa w torebkach, min. 2 rodzaje);</w:t>
      </w:r>
    </w:p>
    <w:p w:rsidR="008320FC" w:rsidRPr="008320FC" w:rsidRDefault="008320FC" w:rsidP="008320F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dodatki: cukier, śmietanka/mleko, cytryna;</w:t>
      </w:r>
    </w:p>
    <w:p w:rsidR="008320FC" w:rsidRPr="008320FC" w:rsidRDefault="008320FC" w:rsidP="008320F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ciastka/kruche ciasteczka w ilości nielimitowanej;</w:t>
      </w:r>
    </w:p>
    <w:p w:rsidR="008320FC" w:rsidRPr="008320FC" w:rsidRDefault="008320FC" w:rsidP="008320F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woda mineralna gazowana i niegazowana butelkowana (pojemność jednej butelki: 0,2 l-0,5 l).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u w:val="dotted"/>
          <w:lang w:eastAsia="pl-PL"/>
        </w:rPr>
        <w:t>Obiadu: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Serwowanego w przerwie konferencji.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Obiad składać się będzie co najmniej z:</w:t>
      </w:r>
    </w:p>
    <w:p w:rsidR="008320FC" w:rsidRPr="008320FC" w:rsidRDefault="008320FC" w:rsidP="008320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2 rodzajów zup do wyboru (w tym 1 wegetariańska, łącznie co najmniej 0,4 l na osobę);</w:t>
      </w:r>
    </w:p>
    <w:p w:rsidR="008320FC" w:rsidRPr="008320FC" w:rsidRDefault="008320FC" w:rsidP="008320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3 różnych gorących dań głównych do wyboru (w tym: 1 mięsne, </w:t>
      </w:r>
      <w:r w:rsidRPr="008320FC">
        <w:rPr>
          <w:rFonts w:ascii="Arial" w:hAnsi="Arial" w:cs="Arial"/>
          <w:bCs/>
          <w:sz w:val="22"/>
          <w:szCs w:val="22"/>
          <w:lang w:eastAsia="pl-PL"/>
        </w:rPr>
        <w:br/>
        <w:t>1 wegetariańskie, 1 na bazie ryb lub owoców morza; łącznie co najmniej 150 g na osobę);</w:t>
      </w:r>
    </w:p>
    <w:p w:rsidR="008320FC" w:rsidRPr="008320FC" w:rsidRDefault="008320FC" w:rsidP="008320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2 dodatków warzywnych (łącznie co najmniej </w:t>
      </w:r>
      <w:smartTag w:uri="urn:schemas-microsoft-com:office:smarttags" w:element="metricconverter">
        <w:smartTagPr>
          <w:attr w:name="ProductID" w:val="100 g"/>
        </w:smartTagPr>
        <w:r w:rsidRPr="008320FC">
          <w:rPr>
            <w:rFonts w:ascii="Arial" w:hAnsi="Arial" w:cs="Arial"/>
            <w:bCs/>
            <w:sz w:val="22"/>
            <w:szCs w:val="22"/>
            <w:lang w:eastAsia="pl-PL"/>
          </w:rPr>
          <w:t>100 g</w:t>
        </w:r>
      </w:smartTag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 na osobę);</w:t>
      </w:r>
    </w:p>
    <w:p w:rsidR="008320FC" w:rsidRPr="008320FC" w:rsidRDefault="008320FC" w:rsidP="008320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2 dodatków skrobiowych (łącznie co najmniej </w:t>
      </w:r>
      <w:smartTag w:uri="urn:schemas-microsoft-com:office:smarttags" w:element="metricconverter">
        <w:smartTagPr>
          <w:attr w:name="ProductID" w:val="100 g"/>
        </w:smartTagPr>
        <w:r w:rsidRPr="008320FC">
          <w:rPr>
            <w:rFonts w:ascii="Arial" w:hAnsi="Arial" w:cs="Arial"/>
            <w:bCs/>
            <w:sz w:val="22"/>
            <w:szCs w:val="22"/>
            <w:lang w:eastAsia="pl-PL"/>
          </w:rPr>
          <w:t>100 g</w:t>
        </w:r>
      </w:smartTag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 na osobę);</w:t>
      </w:r>
    </w:p>
    <w:p w:rsidR="008320FC" w:rsidRPr="008320FC" w:rsidRDefault="008320FC" w:rsidP="008320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min. 2 różnych deserów (łącznie co najmniej </w:t>
      </w:r>
      <w:smartTag w:uri="urn:schemas-microsoft-com:office:smarttags" w:element="metricconverter">
        <w:smartTagPr>
          <w:attr w:name="ProductID" w:val="200 g"/>
        </w:smartTagPr>
        <w:r w:rsidRPr="008320FC">
          <w:rPr>
            <w:rFonts w:ascii="Arial" w:hAnsi="Arial" w:cs="Arial"/>
            <w:bCs/>
            <w:sz w:val="22"/>
            <w:szCs w:val="22"/>
            <w:lang w:eastAsia="pl-PL"/>
          </w:rPr>
          <w:t>200 g</w:t>
        </w:r>
      </w:smartTag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 na osobę);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Napoje do obiadu:</w:t>
      </w:r>
    </w:p>
    <w:p w:rsidR="008320FC" w:rsidRPr="008320FC" w:rsidRDefault="008320FC" w:rsidP="008320F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naturalne soki owocowe (min. 2 rodzaje, łącznie co najmniej 0,3 l na osobę);</w:t>
      </w:r>
    </w:p>
    <w:p w:rsidR="008320FC" w:rsidRPr="008320FC" w:rsidRDefault="008320FC" w:rsidP="008320F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woda mineralna gazowana i niegazowana butelkowana (pojemność jednej butelki: 0,2 l - 0,5 l, łącznie 0,5 l na osobę).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Wykonawca zapewni </w:t>
      </w:r>
      <w:r w:rsidRPr="008320FC">
        <w:rPr>
          <w:rFonts w:ascii="Arial" w:hAnsi="Arial" w:cs="Arial"/>
          <w:bCs/>
          <w:sz w:val="22"/>
          <w:szCs w:val="22"/>
          <w:u w:val="dotted"/>
          <w:lang w:eastAsia="pl-PL"/>
        </w:rPr>
        <w:t>oznaczenie dań</w:t>
      </w: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 (nazwa) oraz dokładną informację o ich składzie (w szczególności informacje o alergenach występujących w posiłkach).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po zakończeniu obiadu/przerw kawowych doprowadzi miejsce świadczenia usługi do stanu sprzed rozpoczęcia jej świadczenia (w szczególności odbierze naczynia i sztućce oraz inne materiały będące własnością Wykonawcy, wykorzystywane w trakcie świadczenia usługi).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ustali z Zamawiającym menu nie później niż 7 dni przed dniem organizacji konferencji. Zamawiający ma prawo zgłosić uwagi do propozycji menu, a Wykonawca musi je uwzględnić. Ostateczna wersja menu musi zostać zaakceptowana przez Zamawiającego.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Godzina serwowania obiadu, co do zasady, będzie zgodna z godziną wyznaczoną w programie konferencji. W przypadku przesunięć w programie w trakcie trwania konferencji godzina obiadu także zostanie przesunięta, o czym Wykonawca zostanie poinformowany przez Zamawiającego.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zapewnia, że usługa, o której mowa w pkt. 6.2., będąca przedmiotem zamówienia, będzie świadczona zgodnie z obowiązującymi przepisami prawa w kwestii żywienia zbiorowego. Na Wykonawcy spoczywa odpowiedzialność za naruszenie przepisów sanitarnych, ppoż., BHP oraz brak stosownych zezwoleń na prowadzenie działalności związanej z przedmiotem zamówienia. W przypadku naruszeń, nałożone przez właściwe organy sankcje, obciążają Wykonawcę.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lastRenderedPageBreak/>
        <w:t>Wszystkie osoby uczestniczące w przygotowywaniu potraw i serwowaniu posiłków na terenie obiektu, muszą posiadać aktualne badania do celów sanitarno- epidemiologicznych. Wykonawca zobowiązany jest przygotować posiłki w oparciu o system HACCP zgodnie z ustawą z dnia 25 sierpnia 2006 r. o bezpieczeństwie żywności i żywienia.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zobowiązany jest do tego, aby wszystkie posiłki były bezwzględnie świeże oraz charakteryzowały się wysoką jakością w odniesieniu do użytych składników. Posiłki winny być przygotowywane z surowców wysokiej jakości, świeżych, naturalnych, mało przetworzonych, z ograniczoną ilością substancji konserwujących, zagęszczających, barwiących lub sztucznie aromatyzowanych. Posiłki nie mogą być wykonywane z produktów typu instant.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Wykonawca zapewni odpowiednią liczbę stolików koktajlowych i bufetowych nakrytych obrusami wraz ze </w:t>
      </w:r>
      <w:proofErr w:type="spellStart"/>
      <w:r w:rsidRPr="008320FC">
        <w:rPr>
          <w:rFonts w:ascii="Arial" w:hAnsi="Arial" w:cs="Arial"/>
          <w:bCs/>
          <w:sz w:val="22"/>
          <w:szCs w:val="22"/>
          <w:lang w:eastAsia="pl-PL"/>
        </w:rPr>
        <w:t>skirtingami</w:t>
      </w:r>
      <w:proofErr w:type="spellEnd"/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 dla przerw kawowych i lunchu, przy czym kolor nakryć zostanie skonsultowany wcześniej z Zamawiającym.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zapewni niezbędną zastawę szklaną lub porcelanową oraz niezbędne sztućce metalowe w liczbie co najmniej odpowiadającej liczbie uczestników. Zastawa będzie czysta, nieuszkodzona (niewyszczerbiona itp.) i wysterylizowana zgodnie z obowiązującymi w tym zakresie przepisami. Zamawiający nie dopuszcza użycia sztućców oraz naczyń jednorazowych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Posiłki w momencie ich podawania powinny posiadać estetyczny wygląd.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 xml:space="preserve">Serwis kawowy należy przygotować na min. 30 minut przed rozpoczęciem szkolenia </w:t>
      </w:r>
      <w:r w:rsidRPr="008320FC">
        <w:rPr>
          <w:rFonts w:ascii="Arial" w:hAnsi="Arial" w:cs="Arial"/>
          <w:bCs/>
          <w:sz w:val="22"/>
          <w:szCs w:val="22"/>
          <w:lang w:eastAsia="pl-PL"/>
        </w:rPr>
        <w:br/>
        <w:t>w danym dniu.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Temperatura obiadu powinna mieścić się w granicach 60-75 stopni Celsjusza. W celu utrzymania odpowiedniej temperatury, posiłki ciepłe muszą być serwowane na podgrzewaczach zapewnionych przez Wykonawcę.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hAnsi="Arial" w:cs="Arial"/>
          <w:bCs/>
          <w:sz w:val="22"/>
          <w:szCs w:val="22"/>
          <w:lang w:eastAsia="pl-PL"/>
        </w:rPr>
        <w:t>Wykonawca zobowiązany jest do zapewnienia serwetek jednorazowego użytku.</w:t>
      </w: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 przypadku sytuacji epidemiologicznej, która nie będzie pozwalała na przeprowadzenie konferencji w trybie stacjonarnym Wykonawca jest zobowiązany do:</w:t>
      </w:r>
    </w:p>
    <w:p w:rsid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7.1. Zapewnienie platformy online wraz z licencją do realizacji spotkań/konferencji w trybie zdalnym do maksymalnie 150 osób. Platforma powinna posiadać następujące funkcjonalności: </w:t>
      </w:r>
    </w:p>
    <w:p w:rsidR="008320FC" w:rsidRDefault="008320FC" w:rsidP="008320F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możliwość realizacji spotkań do 8 godzin, w dni robocze;</w:t>
      </w:r>
    </w:p>
    <w:p w:rsidR="008320FC" w:rsidRDefault="008320FC" w:rsidP="008320F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możliwość aktywnego udziału uczestników w systemie video i audio, w tym możliwość zarządzania systemem audio i video uczestników (np. włączenia i wyłączenia kamerki i</w:t>
      </w:r>
      <w:r w:rsidR="00B7734A">
        <w:rPr>
          <w:rFonts w:ascii="Arial" w:eastAsia="Calibri" w:hAnsi="Arial" w:cs="Arial"/>
          <w:sz w:val="22"/>
          <w:szCs w:val="22"/>
        </w:rPr>
        <w:t> </w:t>
      </w:r>
      <w:r w:rsidRPr="008320FC">
        <w:rPr>
          <w:rFonts w:ascii="Arial" w:eastAsia="Calibri" w:hAnsi="Arial" w:cs="Arial"/>
          <w:sz w:val="22"/>
          <w:szCs w:val="22"/>
        </w:rPr>
        <w:t>mikrofonu uczestnikom spotkania);</w:t>
      </w:r>
    </w:p>
    <w:p w:rsidR="008320FC" w:rsidRDefault="008320FC" w:rsidP="008320F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możliwość dzielenia ekranu na moduły np. widok prelegenta + widok wyświetlanej prezentacji</w:t>
      </w:r>
      <w:r>
        <w:rPr>
          <w:rFonts w:ascii="Arial" w:eastAsia="Calibri" w:hAnsi="Arial" w:cs="Arial"/>
          <w:sz w:val="22"/>
          <w:szCs w:val="22"/>
        </w:rPr>
        <w:t>;</w:t>
      </w:r>
    </w:p>
    <w:p w:rsidR="008320FC" w:rsidRPr="008320FC" w:rsidRDefault="008320FC" w:rsidP="008320F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oprogramowanie niezbędne do uczestnictwa w spotkaniu musi być kompatybilne z powszechnie używanymi systemami operacyjnymi: Windows, iOS, Android, Mac OSX.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7.2. Dostęp do platformy zarejestrowanym uczestnikom.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Wykonawca, na 5 dni przed planowanym terminem konferencji przekaże Zamawiającemu listę zarejestrowanych uczestników wraz z adresami mailowymi. Wykonawca, na 2 dni przed konferencją, zobowiązany będzie do przesłania uczestnikom linku i hasła umożliwiającego zalogowanie się do </w:t>
      </w:r>
      <w:r w:rsidRPr="008320FC">
        <w:rPr>
          <w:rFonts w:ascii="Arial" w:eastAsia="Calibri" w:hAnsi="Arial" w:cs="Arial"/>
          <w:sz w:val="22"/>
          <w:szCs w:val="22"/>
        </w:rPr>
        <w:lastRenderedPageBreak/>
        <w:t>platformy online wraz z krótkim materiałem informacyjnym na temat funkcjonalności platformy, celem zapewnienia ich pełnej partycypacji w wydarzeniu.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7.3 Zapewnienie profesjonalnego sprzętu niezbędnego do realizacji transmisji online, m.in.: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2 kamery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broadcastowe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 xml:space="preserve"> (jakość video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full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 xml:space="preserve"> HD - 1920x1080) </w:t>
      </w:r>
    </w:p>
    <w:p w:rsidR="008320FC" w:rsidRPr="008320FC" w:rsidRDefault="008320FC" w:rsidP="008320FC">
      <w:pPr>
        <w:spacing w:line="276" w:lineRule="auto"/>
        <w:ind w:firstLine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eastAsia="Calibri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mikrofon dla prelegentów;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oświetlenie studyjne (3 lampy LED);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mikser audio-video.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7.4. Przeprowadzenie i transmisja wydarzenia online: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przedstawienie Zamawiającemu, prelegentom oraz konferansjerowi funkcjonalności programu ze szczególnym ukierunkowaniem na te wykorzystywane podczas wydarzenia online;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obsługa techniczna spotkania, w tym: akceptacja obecności uczestników na konferencji, wyświetlanie prezentacji i innych multimediów, jeśli będą miały zastosowanie, zapewnienie i monitorowanie biernego i aktywnego udziału osób w konferencji, zarządzanie udzielaniem mikrofonu i kamerki (włączanie, wyłączanie);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najpóźniej na 2 dni przed planowanym terminem konferencji, przesłanie do Zamawiającego kodu EMBED z transmisją on-line, w celu umożliwienia streamingu konferencji na stronie </w:t>
      </w:r>
      <w:proofErr w:type="gramStart"/>
      <w:r w:rsidRPr="008320FC">
        <w:rPr>
          <w:rFonts w:ascii="Arial" w:eastAsia="Calibri" w:hAnsi="Arial" w:cs="Arial"/>
          <w:sz w:val="22"/>
          <w:szCs w:val="22"/>
        </w:rPr>
        <w:t>internetowej,</w:t>
      </w:r>
      <w:proofErr w:type="gramEnd"/>
      <w:r w:rsidRPr="008320FC">
        <w:rPr>
          <w:rFonts w:ascii="Arial" w:eastAsia="Calibri" w:hAnsi="Arial" w:cs="Arial"/>
          <w:sz w:val="22"/>
          <w:szCs w:val="22"/>
        </w:rPr>
        <w:t xml:space="preserve"> (adres strony poda Zamawiający);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 </w:t>
      </w: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zapewnienie personelu (w niezbędnej liczbie osób) zapewniającego obsługę techniczną m.in. obsługę komputera i projektora multimedialnego, dbanie o poprawność i ciągłość transmisji online oraz możliwość skutecznej interakcji z uczestnikami konferencji, ciągłość działania i sprawność wszystkich elementów wyposażenia technicznego, w tym usuwanie ewentualnych awarii oraz czuwanie nad prawidłowym działaniem sprzętu, oprogramowania oraz łączy. Personel ten będzie dostępny co najmniej godzinę przez rozpoczęciem konferencji oraz w trakcie jej trwania;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utrwalenie nagrania audio-video z wydarzenia (w formacie mp4 lub równorzędnym);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sym w:font="Symbol" w:char="F0B7"/>
      </w:r>
      <w:r w:rsidRPr="008320FC">
        <w:rPr>
          <w:rFonts w:ascii="Arial" w:eastAsia="Calibri" w:hAnsi="Arial" w:cs="Arial"/>
          <w:sz w:val="22"/>
          <w:szCs w:val="22"/>
        </w:rPr>
        <w:t xml:space="preserve"> realizacja transmisji nastąpi w sposób możliwy do odbioru streamingu poprzez komputer PC, a także urządzenia mobilne (telefon, tablet) z łączem szerokopasmowym Internetu (przepustowość łącza minimum 10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mbps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>, zarówno w przypadku prędkości pobierania, jak i wysyłania).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 przypadku przeprowadzenia konferencji w trybie online Zamawiający rezygnuje z usługi hotelarsko-gastronomicznej, w tym zapewnienia sali konferencyjnej oraz cateringu.  </w:t>
      </w:r>
    </w:p>
    <w:p w:rsidR="008320FC" w:rsidRPr="008320FC" w:rsidRDefault="008320FC" w:rsidP="008320FC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Przeprowadzenie procesu rekrutacji.</w:t>
      </w:r>
    </w:p>
    <w:p w:rsidR="008320FC" w:rsidRPr="008320FC" w:rsidRDefault="008320FC" w:rsidP="008320FC">
      <w:pPr>
        <w:spacing w:line="276" w:lineRule="auto"/>
        <w:ind w:firstLine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Wykonawca jest odpowiedzialny za rekrutację 100 uczestników konferencji, w szczególności: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Zapewnienie, że wszyscy uczestnicy spełniają kryteria przedstawione w pkt 8 OPZ tj.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posiadanie co najmniej wykształcenia wyższego prawniczego (mgr prawa) – weryfikacja nastąpi na podstawie: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kopii dyplomu ukończenia studiów magisterskich na kierunku prawo lub </w:t>
      </w:r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lastRenderedPageBreak/>
        <w:t xml:space="preserve">weryfikacji posiadania statusu radcy prawnego/aplikanta radcowskiego na podstawie Krajowej wyszukiwarki Radców prawnych znajdującej się pod adresem: </w:t>
      </w:r>
      <w:hyperlink r:id="rId10" w:history="1">
        <w:r w:rsidRPr="008320FC">
          <w:rPr>
            <w:rStyle w:val="Hipercze"/>
            <w:rFonts w:ascii="Arial" w:eastAsia="Calibri" w:hAnsi="Arial" w:cs="Arial"/>
            <w:sz w:val="22"/>
            <w:szCs w:val="22"/>
          </w:rPr>
          <w:t>https://rejestrradcow.pl/Home/Index#</w:t>
        </w:r>
      </w:hyperlink>
    </w:p>
    <w:p w:rsidR="008320FC" w:rsidRPr="008320FC" w:rsidRDefault="008320FC" w:rsidP="008320FC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weryfikacji posiadania statusu adwokata/aplikanta adwokackiego na podstawie Krajowego Rejestru Adwokatów i Aplikantów Adwokackich znajdującego się pod </w:t>
      </w:r>
      <w:proofErr w:type="gramStart"/>
      <w:r w:rsidRPr="008320FC">
        <w:rPr>
          <w:rFonts w:ascii="Arial" w:eastAsia="Calibri" w:hAnsi="Arial" w:cs="Arial"/>
          <w:sz w:val="22"/>
          <w:szCs w:val="22"/>
        </w:rPr>
        <w:t>adresem :</w:t>
      </w:r>
      <w:proofErr w:type="gramEnd"/>
      <w:r w:rsidRPr="008320FC">
        <w:rPr>
          <w:rFonts w:ascii="Arial" w:eastAsia="Calibri" w:hAnsi="Arial" w:cs="Arial"/>
          <w:sz w:val="22"/>
          <w:szCs w:val="22"/>
        </w:rPr>
        <w:t xml:space="preserve"> </w:t>
      </w:r>
      <w:hyperlink r:id="rId11" w:history="1">
        <w:r w:rsidRPr="008320FC">
          <w:rPr>
            <w:rStyle w:val="Hipercze"/>
            <w:rFonts w:ascii="Arial" w:eastAsia="Calibri" w:hAnsi="Arial" w:cs="Arial"/>
            <w:sz w:val="22"/>
            <w:szCs w:val="22"/>
          </w:rPr>
          <w:t>https://rejestradwokatow.pl/</w:t>
        </w:r>
      </w:hyperlink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Skompletowania wymaganej dokumentacji rekrutacyjnej uczestników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tj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>: kopii dokumentów, o których mowa w pkt 8.1.1.1. lub zrzutów z ekranu, jeśli weryfikacja zostanie dokonana za pomocą narzędzi informatycznych o których mowa w pkt 8.1.1.2. i 8.1.1.3.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Przeprowadzenie rekrutacji zgodnie z zasadą równości szans i niedyskryminacji, w tym dostępności dla osób z niepełnosprawnościami oraz zgodnie z zasadą równości szans kobiet i mężczyzn.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Wykonawca najpóźniej 7 dni przed planowaną datą konferencji przekaże Zamawiającemu pełną dokumentację rekrutacyjną uczestników konferencji.   </w:t>
      </w:r>
    </w:p>
    <w:p w:rsidR="008320FC" w:rsidRPr="008320FC" w:rsidRDefault="008320FC" w:rsidP="008320FC">
      <w:pPr>
        <w:pStyle w:val="Akapitzlist"/>
        <w:spacing w:line="276" w:lineRule="auto"/>
        <w:ind w:left="1077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Planowany zakres konferencji: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 xml:space="preserve">Temat pierwszy - </w:t>
      </w:r>
      <w:r w:rsidRPr="008320FC">
        <w:rPr>
          <w:rFonts w:ascii="Arial" w:eastAsia="Calibri" w:hAnsi="Arial" w:cs="Arial"/>
          <w:b/>
          <w:i/>
          <w:sz w:val="22"/>
          <w:szCs w:val="22"/>
        </w:rPr>
        <w:t>Badania kliniczne produktów leczniczych – co się zmieni po rozpoczęciu stosowania CTR? (</w:t>
      </w:r>
      <w:r w:rsidRPr="008320FC">
        <w:rPr>
          <w:rFonts w:eastAsia="Calibri"/>
          <w:b/>
          <w:i/>
        </w:rPr>
        <w:t xml:space="preserve">ROZPORZĄDZENIE PARLAMENTU EUROPEJSKIEGO </w:t>
      </w:r>
      <w:r w:rsidRPr="008320FC">
        <w:rPr>
          <w:rFonts w:ascii="Arial" w:eastAsia="Calibri" w:hAnsi="Arial" w:cs="Arial"/>
          <w:b/>
          <w:i/>
          <w:sz w:val="22"/>
          <w:szCs w:val="22"/>
        </w:rPr>
        <w:t>i</w:t>
      </w:r>
      <w:r w:rsidRPr="008320FC">
        <w:rPr>
          <w:rFonts w:eastAsia="Calibri"/>
          <w:b/>
          <w:i/>
        </w:rPr>
        <w:t xml:space="preserve"> RADY (UE) NR 536/2014 z dnia 16 kwietnia 2014 r. w sprawie badań klinicznych produktów leczniczych stosowanych u ludzi oraz uchylenia dyrektywy 2001/20/WE</w:t>
      </w:r>
      <w:r w:rsidRPr="008320FC">
        <w:rPr>
          <w:rFonts w:ascii="Arial" w:eastAsia="Calibri" w:hAnsi="Arial" w:cs="Arial"/>
          <w:b/>
          <w:i/>
          <w:sz w:val="22"/>
          <w:szCs w:val="22"/>
        </w:rPr>
        <w:t>):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ind w:left="1565"/>
        <w:rPr>
          <w:rFonts w:ascii="Arial" w:eastAsia="Calibri" w:hAnsi="Arial" w:cs="Arial"/>
          <w:bCs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Procedura wydania pozwolenia na badanie kliniczne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ind w:left="1565"/>
        <w:rPr>
          <w:rFonts w:ascii="Arial" w:eastAsia="Calibri" w:hAnsi="Arial" w:cs="Arial"/>
          <w:bCs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Dokumentacja wniosku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Świadoma zgoda na udział w badaniu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Temat drugi -</w:t>
      </w:r>
      <w:r w:rsidRPr="008320F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bookmarkStart w:id="2" w:name="_Hlk79579907"/>
      <w:r w:rsidRPr="008320FC">
        <w:rPr>
          <w:rFonts w:ascii="Arial" w:eastAsia="Calibri" w:hAnsi="Arial" w:cs="Arial"/>
          <w:b/>
          <w:i/>
          <w:sz w:val="22"/>
          <w:szCs w:val="22"/>
        </w:rPr>
        <w:t>Ustawa o badaniach klinicznych produktów leczniczych – omówienie najistotniejszych projektowanych koncepcji (w szczególności: system oceny etycznej, system gwarancyjny)</w:t>
      </w:r>
      <w:bookmarkEnd w:id="2"/>
      <w:r w:rsidRPr="008320FC">
        <w:rPr>
          <w:rFonts w:ascii="Arial" w:eastAsia="Calibri" w:hAnsi="Arial" w:cs="Arial"/>
          <w:b/>
          <w:i/>
          <w:sz w:val="22"/>
          <w:szCs w:val="22"/>
        </w:rPr>
        <w:t>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System oceny etycznej badań klinicznych produktów leczniczych oraz sposób jej przeprowadzania przez Komisje Bioetyczne, przy uwzględnieniu terminów określonych w rozporządzeniu.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Rozwiązania mające zapewnić ochronę uczestników badań w zakresie systemu gwarancyjnego.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Wysokość i sposoby uiszczania opłat związanych z badaniem klinicznym.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Zasady finansowania świadczeń opieki zdrowotnej związanych z badaniem klinicznym.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Mechanizm wsparcia niekomercyjnych badań klinicznych.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 xml:space="preserve">Temat trzeci – </w:t>
      </w:r>
      <w:r w:rsidRPr="008320FC">
        <w:rPr>
          <w:rFonts w:ascii="Arial" w:eastAsia="Calibri" w:hAnsi="Arial" w:cs="Arial"/>
          <w:b/>
          <w:i/>
          <w:iCs/>
          <w:sz w:val="22"/>
          <w:szCs w:val="22"/>
        </w:rPr>
        <w:t>Umowy w badaniach klinicznych. Tworzenie umowy trójstronnej i negocjacja treści: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Aspekty prawne umowy trójstronnej w badaniach klinicznych.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 xml:space="preserve">Omówienie wpływu Rozporządzenia i projektu ustawy na sposób kontraktowania umów w badaniach klinicznych. 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Ryzyko związane z umową trójstronną.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lastRenderedPageBreak/>
        <w:t>Precyzowanie zysków i podział odpowiedzialności w umowie.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Temat czwarty -</w:t>
      </w:r>
      <w:bookmarkStart w:id="3" w:name="_Hlk79580002"/>
      <w:r w:rsidRPr="008320FC">
        <w:rPr>
          <w:rFonts w:ascii="Arial" w:eastAsia="Calibri" w:hAnsi="Arial" w:cs="Arial"/>
          <w:sz w:val="22"/>
          <w:szCs w:val="22"/>
        </w:rPr>
        <w:t xml:space="preserve"> </w:t>
      </w:r>
      <w:r w:rsidRPr="008320FC">
        <w:rPr>
          <w:rFonts w:ascii="Arial" w:eastAsia="Calibri" w:hAnsi="Arial" w:cs="Arial"/>
          <w:b/>
          <w:bCs/>
          <w:i/>
          <w:iCs/>
          <w:sz w:val="22"/>
          <w:szCs w:val="22"/>
        </w:rPr>
        <w:t>Wpływ ustawy z dnia 16 lipca 2020 r. o zmianie ustawy o zawodach lekarza i lekarza dentysty oraz niektórych innych ustaw (Dz.U. z 2020 r. poz. 1291) na prowadzenie badań klinicznych w Polsce</w:t>
      </w:r>
      <w:bookmarkEnd w:id="3"/>
      <w:r w:rsidRPr="008320FC">
        <w:rPr>
          <w:rFonts w:ascii="Arial" w:eastAsia="Calibri" w:hAnsi="Arial" w:cs="Arial"/>
          <w:b/>
          <w:bCs/>
          <w:i/>
          <w:iCs/>
          <w:sz w:val="22"/>
          <w:szCs w:val="22"/>
        </w:rPr>
        <w:t>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Omówienie wpływu ustawy z dnia 16 lipca 2020 r. o zmianie ustawy o zawodach lekarza i</w:t>
      </w:r>
      <w:r w:rsidR="00B7734A">
        <w:rPr>
          <w:rFonts w:ascii="Arial" w:eastAsia="Calibri" w:hAnsi="Arial" w:cs="Arial"/>
          <w:sz w:val="22"/>
          <w:szCs w:val="22"/>
        </w:rPr>
        <w:t> </w:t>
      </w:r>
      <w:bookmarkStart w:id="4" w:name="_GoBack"/>
      <w:bookmarkEnd w:id="4"/>
      <w:r w:rsidRPr="008320FC">
        <w:rPr>
          <w:rFonts w:ascii="Arial" w:eastAsia="Calibri" w:hAnsi="Arial" w:cs="Arial"/>
          <w:sz w:val="22"/>
          <w:szCs w:val="22"/>
        </w:rPr>
        <w:t xml:space="preserve">lekarza dentysty oraz niektórych innych ustaw (Dz.U. z 2020 r. poz. 1291) na prowadzenie badań klinicznych w Polsce 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Temat piąty: Wynagrodzenie oraz rekompensata poniesionych kosztów dla uczestników badania klinicznego w praktyce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Omówienie przepisów prawnych dotyczących możliwości stosowania wynagrodzenia oraz rekompensaty poniesionych kosztów dla uczestników badania klinicznego w ujęciu praktycznym, ze szczególnym uwzględnieniem niekomercyjnych badań klinicznych podejmowanych przez uczelnie.</w:t>
      </w:r>
    </w:p>
    <w:p w:rsidR="008320FC" w:rsidRPr="008320FC" w:rsidRDefault="008320FC" w:rsidP="008320FC">
      <w:pPr>
        <w:pStyle w:val="Akapitzlist"/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Wymogi dotyczące prelegentów.</w:t>
      </w:r>
    </w:p>
    <w:p w:rsidR="008320FC" w:rsidRPr="008320FC" w:rsidRDefault="008320FC" w:rsidP="008320FC">
      <w:pPr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Osoby skierowane przez Wykonawcę do przeprowadzenia konferencji muszą spełniać następujące warunki: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Prelegent pierwszy (</w:t>
      </w:r>
      <w:r w:rsidRPr="008320FC">
        <w:rPr>
          <w:rFonts w:ascii="Arial" w:eastAsia="Calibri" w:hAnsi="Arial" w:cs="Arial"/>
          <w:b/>
          <w:i/>
          <w:sz w:val="22"/>
          <w:szCs w:val="22"/>
        </w:rPr>
        <w:t>Badania kliniczne produktów leczniczych – co się zmieni po rozpoczęciu stosowania CTR?</w:t>
      </w:r>
      <w:r w:rsidRPr="008320FC">
        <w:rPr>
          <w:rFonts w:ascii="Arial" w:eastAsia="Calibri" w:hAnsi="Arial" w:cs="Arial"/>
          <w:sz w:val="22"/>
          <w:szCs w:val="22"/>
        </w:rPr>
        <w:t>):</w:t>
      </w:r>
      <w:bookmarkStart w:id="5" w:name="_Hlk74640776"/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Kwalifikacje zawodowe: </w:t>
      </w:r>
    </w:p>
    <w:p w:rsidR="008320FC" w:rsidRPr="008320FC" w:rsidRDefault="008320FC" w:rsidP="008320F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wykształcenie wyższe;</w:t>
      </w:r>
      <w:bookmarkStart w:id="6" w:name="_Hlk79583414"/>
    </w:p>
    <w:bookmarkEnd w:id="6"/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Doświadczenie zawodowe:</w:t>
      </w:r>
    </w:p>
    <w:p w:rsidR="008320FC" w:rsidRPr="008320FC" w:rsidRDefault="008320FC" w:rsidP="008320F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co najmniej pięcioletnie doświadczenie w obszarze badań klinicznych;</w:t>
      </w:r>
    </w:p>
    <w:p w:rsidR="008320FC" w:rsidRPr="008320FC" w:rsidRDefault="008320FC" w:rsidP="008320F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>–dydaktycznej lub przeprowadzenie 3 szkoleń;</w:t>
      </w:r>
      <w:bookmarkStart w:id="7" w:name="_Hlk79582021"/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8" w:name="_Hlk74641100"/>
      <w:bookmarkEnd w:id="5"/>
      <w:bookmarkEnd w:id="7"/>
      <w:r w:rsidRPr="008320FC">
        <w:rPr>
          <w:rFonts w:ascii="Arial" w:eastAsia="Calibri" w:hAnsi="Arial" w:cs="Arial"/>
          <w:bCs/>
          <w:sz w:val="22"/>
          <w:szCs w:val="22"/>
        </w:rPr>
        <w:t>Prelegent drugi</w:t>
      </w:r>
      <w:r w:rsidRPr="008320FC">
        <w:rPr>
          <w:rFonts w:ascii="Arial" w:eastAsia="Calibri" w:hAnsi="Arial" w:cs="Arial"/>
          <w:sz w:val="22"/>
          <w:szCs w:val="22"/>
        </w:rPr>
        <w:t xml:space="preserve"> (</w:t>
      </w:r>
      <w:r w:rsidRPr="008320FC">
        <w:rPr>
          <w:rFonts w:ascii="Arial" w:eastAsia="Calibri" w:hAnsi="Arial" w:cs="Arial"/>
          <w:b/>
          <w:i/>
          <w:sz w:val="22"/>
          <w:szCs w:val="22"/>
        </w:rPr>
        <w:t>Ustawa o badaniach klinicznych produktów leczniczych – omówienie najistotniejszych projektowanych koncepcji (system oceny etycznej, system gwarancyjny</w:t>
      </w:r>
      <w:r w:rsidRPr="008320FC">
        <w:rPr>
          <w:rFonts w:ascii="Arial" w:eastAsia="Calibri" w:hAnsi="Arial" w:cs="Arial"/>
          <w:sz w:val="22"/>
          <w:szCs w:val="22"/>
        </w:rPr>
        <w:t>):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Kwalifikacje zawodowe:</w:t>
      </w:r>
    </w:p>
    <w:p w:rsidR="008320FC" w:rsidRPr="008320FC" w:rsidRDefault="008320FC" w:rsidP="008320F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wykształcenie wyższe prawnicze lub medyczne;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Doświadczenie zawodowe:</w:t>
      </w:r>
    </w:p>
    <w:bookmarkEnd w:id="8"/>
    <w:p w:rsidR="008320FC" w:rsidRPr="008320FC" w:rsidRDefault="008320FC" w:rsidP="008320F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co najmniej pięcioletnie doświadczenie w obszarze badań klinicznych;</w:t>
      </w:r>
    </w:p>
    <w:p w:rsidR="008320FC" w:rsidRPr="008320FC" w:rsidRDefault="008320FC" w:rsidP="008320F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>–dydaktycznej lub przeprowadzenie 3 szkoleń;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Prelegent trzeci (</w:t>
      </w:r>
      <w:r w:rsidRPr="008320FC">
        <w:rPr>
          <w:rFonts w:ascii="Arial" w:eastAsia="Calibri" w:hAnsi="Arial" w:cs="Arial"/>
          <w:b/>
          <w:i/>
          <w:sz w:val="22"/>
          <w:szCs w:val="22"/>
        </w:rPr>
        <w:t>Umowa na badanie kliniczne. Tworzenie umowy trójstronnej i negocjacja treści</w:t>
      </w:r>
      <w:r w:rsidRPr="008320FC">
        <w:rPr>
          <w:rFonts w:ascii="Arial" w:eastAsia="Calibri" w:hAnsi="Arial" w:cs="Arial"/>
          <w:sz w:val="22"/>
          <w:szCs w:val="22"/>
        </w:rPr>
        <w:t>):</w:t>
      </w:r>
      <w:bookmarkStart w:id="9" w:name="_Hlk79583298"/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Kwalifikacje zawodowe:</w:t>
      </w:r>
    </w:p>
    <w:p w:rsidR="008320FC" w:rsidRPr="008320FC" w:rsidRDefault="008320FC" w:rsidP="008320F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lastRenderedPageBreak/>
        <w:t>wykształcenie wyższe prawnicze, uprawnienia zawodowe: adwokat/radca prawny;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Doświadczenie zawodowe:</w:t>
      </w:r>
    </w:p>
    <w:p w:rsidR="008320FC" w:rsidRPr="008320FC" w:rsidRDefault="008320FC" w:rsidP="008320F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co najmniej pięcioletnie doświadczenie w obszarze tworzenia umów w badaniach klinicznych;</w:t>
      </w:r>
    </w:p>
    <w:p w:rsidR="008320FC" w:rsidRPr="008320FC" w:rsidRDefault="008320FC" w:rsidP="008320F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>–dydaktycznej lub przeprowadzenie 3 szkoleń</w:t>
      </w:r>
      <w:bookmarkEnd w:id="9"/>
      <w:r w:rsidRPr="008320FC">
        <w:rPr>
          <w:rFonts w:ascii="Arial" w:eastAsia="Calibri" w:hAnsi="Arial" w:cs="Arial"/>
          <w:sz w:val="22"/>
          <w:szCs w:val="22"/>
        </w:rPr>
        <w:t>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Prelegent czwarty </w:t>
      </w:r>
      <w:r w:rsidRPr="008320FC">
        <w:rPr>
          <w:rFonts w:ascii="Arial" w:eastAsia="Calibri" w:hAnsi="Arial" w:cs="Arial"/>
          <w:b/>
          <w:bCs/>
          <w:sz w:val="22"/>
          <w:szCs w:val="22"/>
        </w:rPr>
        <w:t>(Wpływ ustawy z dnia 16 lipca 2020 r. o zmianie ustawy o zawodach lekarza i lekarza dentysty oraz niektórych innych ustaw (Dz.U. z 2020 r. poz. 1291) na prowadzenie badań klinicznych w Polsce):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bookmarkStart w:id="10" w:name="_Hlk82705436"/>
      <w:r w:rsidRPr="008320FC">
        <w:rPr>
          <w:rFonts w:ascii="Arial" w:eastAsia="Calibri" w:hAnsi="Arial" w:cs="Arial"/>
          <w:sz w:val="22"/>
          <w:szCs w:val="22"/>
        </w:rPr>
        <w:t>Kwalifikacje zawodowe:</w:t>
      </w:r>
    </w:p>
    <w:p w:rsidR="008320FC" w:rsidRPr="008320FC" w:rsidRDefault="008320FC" w:rsidP="008320F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wykształcenie wyższe prawnicze uprawnienia zawodowe: adwokat/radca prawny;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spacing w:line="276" w:lineRule="auto"/>
        <w:ind w:left="1565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Doświadczenie zawodowe:</w:t>
      </w:r>
    </w:p>
    <w:p w:rsidR="008320FC" w:rsidRPr="008320FC" w:rsidRDefault="008320FC" w:rsidP="008320F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co najmniej pięcioletnie doświadczenie związane z kwestiami prawnymi </w:t>
      </w:r>
      <w:r w:rsidRPr="008320FC">
        <w:rPr>
          <w:rFonts w:ascii="Arial" w:eastAsia="Calibri" w:hAnsi="Arial" w:cs="Arial"/>
          <w:sz w:val="22"/>
          <w:szCs w:val="22"/>
        </w:rPr>
        <w:br/>
        <w:t>w obszarze badań klinicznych;</w:t>
      </w:r>
    </w:p>
    <w:p w:rsidR="008320FC" w:rsidRPr="008320FC" w:rsidRDefault="008320FC" w:rsidP="008320F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>–dydaktycznej lub przeprowadzenie 3 szkoleń.</w:t>
      </w:r>
    </w:p>
    <w:bookmarkEnd w:id="10"/>
    <w:p w:rsidR="008320FC" w:rsidRPr="008320FC" w:rsidRDefault="008320FC" w:rsidP="008320FC">
      <w:pPr>
        <w:pStyle w:val="Akapitzlist"/>
        <w:numPr>
          <w:ilvl w:val="1"/>
          <w:numId w:val="3"/>
        </w:numPr>
        <w:rPr>
          <w:rFonts w:ascii="Arial" w:eastAsia="Calibri" w:hAnsi="Arial" w:cs="Arial"/>
          <w:b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Prelegent piąty: (</w:t>
      </w:r>
      <w:r w:rsidRPr="008320FC">
        <w:rPr>
          <w:rFonts w:ascii="Arial" w:eastAsia="Calibri" w:hAnsi="Arial" w:cs="Arial"/>
          <w:b/>
          <w:sz w:val="22"/>
          <w:szCs w:val="22"/>
        </w:rPr>
        <w:t>Wynagrodzenie oraz rekompensata poniesionych kosztów dla uczestników badania klinicznego w praktyce)</w:t>
      </w:r>
    </w:p>
    <w:p w:rsidR="008320FC" w:rsidRPr="008320FC" w:rsidRDefault="008320FC" w:rsidP="008320FC">
      <w:pPr>
        <w:pStyle w:val="Akapitzlist"/>
        <w:numPr>
          <w:ilvl w:val="2"/>
          <w:numId w:val="3"/>
        </w:numPr>
        <w:ind w:left="1565"/>
        <w:rPr>
          <w:rFonts w:ascii="Arial" w:eastAsia="Calibri" w:hAnsi="Arial" w:cs="Arial"/>
          <w:b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ab/>
        <w:t>Kwalifikacje zawodowe:</w:t>
      </w:r>
    </w:p>
    <w:p w:rsidR="008320FC" w:rsidRPr="008320FC" w:rsidRDefault="008320FC" w:rsidP="008320FC">
      <w:pPr>
        <w:spacing w:line="276" w:lineRule="auto"/>
        <w:ind w:left="2124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•</w:t>
      </w:r>
      <w:r w:rsidRPr="008320FC">
        <w:rPr>
          <w:rFonts w:ascii="Arial" w:eastAsia="Calibri" w:hAnsi="Arial" w:cs="Arial"/>
          <w:sz w:val="22"/>
          <w:szCs w:val="22"/>
        </w:rPr>
        <w:tab/>
        <w:t>wykształcenie wyższe prawnicze uprawnienia zawodowe: adwokat/radca prawny;</w:t>
      </w:r>
    </w:p>
    <w:p w:rsidR="008320FC" w:rsidRPr="008320FC" w:rsidRDefault="008320FC" w:rsidP="008320FC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11.5.2.</w:t>
      </w:r>
      <w:r w:rsidRPr="008320FC">
        <w:rPr>
          <w:rFonts w:ascii="Arial" w:eastAsia="Calibri" w:hAnsi="Arial" w:cs="Arial"/>
          <w:sz w:val="22"/>
          <w:szCs w:val="22"/>
        </w:rPr>
        <w:tab/>
        <w:t>Doświadczenie zawodowe:</w:t>
      </w:r>
    </w:p>
    <w:p w:rsidR="008320FC" w:rsidRPr="008320FC" w:rsidRDefault="008320FC" w:rsidP="008320FC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•</w:t>
      </w:r>
      <w:r w:rsidRPr="008320FC">
        <w:rPr>
          <w:rFonts w:ascii="Arial" w:eastAsia="Calibri" w:hAnsi="Arial" w:cs="Arial"/>
          <w:sz w:val="22"/>
          <w:szCs w:val="22"/>
        </w:rPr>
        <w:tab/>
        <w:t xml:space="preserve">co najmniej pięcioletnie doświadczenie związane z kwestiami prawnymi </w:t>
      </w:r>
    </w:p>
    <w:p w:rsidR="008320FC" w:rsidRPr="008320FC" w:rsidRDefault="008320FC" w:rsidP="008320FC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 obszarze badań klinicznych;</w:t>
      </w:r>
    </w:p>
    <w:p w:rsidR="008320FC" w:rsidRPr="008320FC" w:rsidRDefault="008320FC" w:rsidP="008320FC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•</w:t>
      </w:r>
      <w:r w:rsidRPr="008320FC">
        <w:rPr>
          <w:rFonts w:ascii="Arial" w:eastAsia="Calibri" w:hAnsi="Arial" w:cs="Arial"/>
          <w:sz w:val="22"/>
          <w:szCs w:val="22"/>
        </w:rPr>
        <w:tab/>
        <w:t xml:space="preserve">co najmniej dwuletnie doświadczenie w obszarze działalności 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>–dydaktycznej lub przeprowadzenie 3 szkoleń.</w:t>
      </w:r>
    </w:p>
    <w:p w:rsidR="008320FC" w:rsidRPr="008320FC" w:rsidRDefault="008320FC" w:rsidP="008320F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bCs/>
          <w:sz w:val="22"/>
          <w:szCs w:val="22"/>
        </w:rPr>
        <w:t>Zadania do wykonania przez prelegentów.</w:t>
      </w:r>
    </w:p>
    <w:p w:rsidR="008320FC" w:rsidRPr="008320FC" w:rsidRDefault="008320FC" w:rsidP="008320FC">
      <w:pPr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Dopuszcza się, aby jeden prelegent poprowadził więcej niż jeden panel tematyczny. Prelegenci wyznaczeni przez Wykonawcę opracują zakres merytoryczny wystąpień zgodnie z propozycjami przedstawionymi w pkt. 9 OPZ, tj. przygotują prezentacje multimedialne w formacie przekazanym przez Zamawiającego i wszystkie potrzebne materiały niezbędne do przeprowadzenia wykładów. Na 5 dni przed planowanym terminem konferencji Wykonawca przekaże Zamawiającemu ww. materiały do wglądu i akceptacji. Zamawiający zastrzega sobie prawo do wniesienia uwag w terminie 3 dni od dnia przekazania ww. materiałów do akceptacji Zamawiającego. 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 cenie usługi Wykonawca zapewni przekazanie praw autorskich i pokrewnych do materiału edukacyjno-informacyjnego na wszystkich polach eksploatacji, w szczególności: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lastRenderedPageBreak/>
        <w:t>Utrwalania i zwielokrotniania jakąkolwiek techniką i na jakimkolwiek nośniku m.in. płyta DVD, pendrive.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Wprowadzania do komputera oraz do sieci komputerowej i/lub multimedialnej.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Publicznego udostępniania materiału w taki sposób, aby każdy mógł mieć do niego dostęp w miejscu i czasie przez siebie wybranym (m.in. w Internecie).</w:t>
      </w:r>
    </w:p>
    <w:p w:rsidR="008320FC" w:rsidRPr="008320FC" w:rsidRDefault="008320FC" w:rsidP="008320FC">
      <w:pPr>
        <w:spacing w:line="276" w:lineRule="auto"/>
        <w:ind w:left="357"/>
        <w:jc w:val="both"/>
        <w:rPr>
          <w:rFonts w:ascii="Arial" w:eastAsia="Calibri" w:hAnsi="Arial" w:cs="Arial"/>
          <w:b/>
          <w:sz w:val="22"/>
          <w:szCs w:val="22"/>
        </w:rPr>
      </w:pPr>
      <w:r w:rsidRPr="008320FC">
        <w:rPr>
          <w:rFonts w:ascii="Arial" w:eastAsia="Calibri" w:hAnsi="Arial" w:cs="Arial"/>
          <w:b/>
          <w:sz w:val="22"/>
          <w:szCs w:val="22"/>
        </w:rPr>
        <w:t>Wykonawca w protokole odbioru przedmiotu Umowy oświadczy, iż przeniesienie w/w praw autorskich nie jest ograniczone czasowo ani terytorialnie.</w:t>
      </w:r>
    </w:p>
    <w:p w:rsidR="008320FC" w:rsidRPr="008320FC" w:rsidRDefault="008320FC" w:rsidP="008320FC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320FC" w:rsidRPr="008320FC" w:rsidRDefault="008320FC" w:rsidP="008320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 xml:space="preserve">Wykonawca zobowiązuje się, że każda prezentacja będzie spełniała poniższe wymagania w zakresie jakości: 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Czytelny przekaz, przez co rozumie się, że treść zostanie przekazana w sposób prosty i zrozumiały dla odbiorcy.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Czas trwania każdej prezentacji powinien być zgodny z harmonogramem konferencji,</w:t>
      </w:r>
    </w:p>
    <w:p w:rsidR="008320FC" w:rsidRPr="008320FC" w:rsidRDefault="008320FC" w:rsidP="008320F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320FC">
        <w:rPr>
          <w:rFonts w:ascii="Arial" w:eastAsia="Calibri" w:hAnsi="Arial" w:cs="Arial"/>
          <w:sz w:val="22"/>
          <w:szCs w:val="22"/>
        </w:rPr>
        <w:t>Prezentacje multimedialne powinny być przygotowane w formacie przekazanym przez Zamawiającego oraz zawierać wszystkie niezbędne oznaczenia/</w:t>
      </w:r>
      <w:proofErr w:type="spellStart"/>
      <w:r w:rsidRPr="008320FC">
        <w:rPr>
          <w:rFonts w:ascii="Arial" w:eastAsia="Calibri" w:hAnsi="Arial" w:cs="Arial"/>
          <w:sz w:val="22"/>
          <w:szCs w:val="22"/>
        </w:rPr>
        <w:t>loga</w:t>
      </w:r>
      <w:proofErr w:type="spellEnd"/>
      <w:r w:rsidRPr="008320FC">
        <w:rPr>
          <w:rFonts w:ascii="Arial" w:eastAsia="Calibri" w:hAnsi="Arial" w:cs="Arial"/>
          <w:sz w:val="22"/>
          <w:szCs w:val="22"/>
        </w:rPr>
        <w:t xml:space="preserve"> projektowe.</w:t>
      </w:r>
    </w:p>
    <w:p w:rsidR="008320FC" w:rsidRPr="008E1FC2" w:rsidRDefault="008320FC" w:rsidP="00531953">
      <w:pPr>
        <w:rPr>
          <w:rFonts w:ascii="Arial" w:hAnsi="Arial" w:cs="Arial"/>
          <w:sz w:val="22"/>
          <w:szCs w:val="22"/>
        </w:rPr>
      </w:pPr>
    </w:p>
    <w:sectPr w:rsidR="008320FC" w:rsidRPr="008E1FC2" w:rsidSect="00EB55F6">
      <w:headerReference w:type="default" r:id="rId12"/>
      <w:footerReference w:type="default" r:id="rId13"/>
      <w:pgSz w:w="11906" w:h="16838"/>
      <w:pgMar w:top="1417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5D" w:rsidRDefault="007B095D" w:rsidP="00F53A59">
      <w:r>
        <w:separator/>
      </w:r>
    </w:p>
  </w:endnote>
  <w:endnote w:type="continuationSeparator" w:id="0">
    <w:p w:rsidR="007B095D" w:rsidRDefault="007B095D" w:rsidP="00F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4A2" w:rsidRPr="00EB55F6" w:rsidRDefault="00EB55F6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5F1" w:rsidRPr="00EB55F6">
      <w:rPr>
        <w:rFonts w:ascii="Lato" w:hAnsi="Lato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2336" behindDoc="0" locked="0" layoutInCell="1" allowOverlap="1" wp14:anchorId="3B277725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4A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>Lider projektu</w:t>
    </w:r>
    <w:r w:rsidR="003B7D2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   </w:t>
    </w:r>
    <w:r w:rsidR="000115F1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</w:t>
    </w:r>
    <w:r w:rsidR="00AE74A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Partnerzy projektu </w:t>
    </w:r>
  </w:p>
  <w:p w:rsidR="00AE74A2" w:rsidRPr="00EB55F6" w:rsidRDefault="00AE74A2" w:rsidP="00EB55F6">
    <w:pPr>
      <w:pStyle w:val="Stopka"/>
      <w:spacing w:line="360" w:lineRule="auto"/>
      <w:rPr>
        <w:rFonts w:ascii="Lato" w:hAnsi="Lato" w:cstheme="minorHAnsi"/>
        <w:color w:val="3B3838" w:themeColor="background2" w:themeShade="40"/>
        <w:sz w:val="18"/>
        <w:szCs w:val="18"/>
      </w:rPr>
    </w:pPr>
    <w:r w:rsidRPr="00EB55F6">
      <w:rPr>
        <w:rFonts w:ascii="Lato" w:hAnsi="Lato" w:cstheme="minorHAnsi"/>
        <w:color w:val="3B3838" w:themeColor="background2" w:themeShade="40"/>
        <w:sz w:val="18"/>
        <w:szCs w:val="18"/>
      </w:rPr>
      <w:t>Agencja Badań Medycznych, ul. Stanisława Moniuszki 1A, 00-014 Warszawa</w:t>
    </w:r>
    <w:r w:rsidR="003B7D22" w:rsidRPr="00EB55F6">
      <w:rPr>
        <w:rFonts w:ascii="Lato" w:hAnsi="Lato" w:cstheme="minorHAnsi"/>
        <w:color w:val="3B3838" w:themeColor="background2" w:themeShade="40"/>
        <w:sz w:val="18"/>
        <w:szCs w:val="18"/>
      </w:rPr>
      <w:t xml:space="preserve">, </w:t>
    </w:r>
    <w:r w:rsidRPr="00EB55F6">
      <w:rPr>
        <w:rFonts w:ascii="Lato" w:hAnsi="Lato" w:cstheme="minorHAnsi"/>
        <w:color w:val="3B3838" w:themeColor="background2" w:themeShade="40"/>
        <w:sz w:val="18"/>
        <w:szCs w:val="18"/>
      </w:rPr>
      <w:t xml:space="preserve">e-mail: </w:t>
    </w:r>
    <w:hyperlink r:id="rId4" w:history="1">
      <w:r w:rsidRPr="00EB55F6">
        <w:rPr>
          <w:rStyle w:val="Hipercze"/>
          <w:rFonts w:ascii="Lato" w:hAnsi="Lato" w:cstheme="minorHAnsi"/>
          <w:color w:val="3B3838" w:themeColor="background2" w:themeShade="40"/>
          <w:sz w:val="18"/>
          <w:szCs w:val="18"/>
        </w:rPr>
        <w:t>kancelaria@abm.gov.pl</w:t>
      </w:r>
    </w:hyperlink>
    <w:r w:rsidRPr="00EB55F6">
      <w:rPr>
        <w:rFonts w:ascii="Lato" w:hAnsi="Lato" w:cstheme="minorHAnsi"/>
        <w:color w:val="3B3838" w:themeColor="background2" w:themeShade="40"/>
        <w:sz w:val="18"/>
        <w:szCs w:val="18"/>
      </w:rPr>
      <w:t>, tel. +48 22 2707069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5D" w:rsidRDefault="007B095D" w:rsidP="00F53A59">
      <w:r>
        <w:separator/>
      </w:r>
    </w:p>
  </w:footnote>
  <w:footnote w:type="continuationSeparator" w:id="0">
    <w:p w:rsidR="007B095D" w:rsidRDefault="007B095D" w:rsidP="00F5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A59" w:rsidRDefault="00531953" w:rsidP="003B7D22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A59" w:rsidRPr="00EB55F6" w:rsidRDefault="00AE74A2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A4A"/>
    <w:multiLevelType w:val="hybridMultilevel"/>
    <w:tmpl w:val="43D6E10C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" w15:restartNumberingAfterBreak="0">
    <w:nsid w:val="09483364"/>
    <w:multiLevelType w:val="multilevel"/>
    <w:tmpl w:val="964A2786"/>
    <w:lvl w:ilvl="0">
      <w:start w:val="1"/>
      <w:numFmt w:val="upperRoman"/>
      <w:lvlText w:val="%1."/>
      <w:lvlJc w:val="righ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2" w15:restartNumberingAfterBreak="0">
    <w:nsid w:val="0978662B"/>
    <w:multiLevelType w:val="hybridMultilevel"/>
    <w:tmpl w:val="878A1A0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0385D90"/>
    <w:multiLevelType w:val="hybridMultilevel"/>
    <w:tmpl w:val="A006A18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D5A372D"/>
    <w:multiLevelType w:val="hybridMultilevel"/>
    <w:tmpl w:val="11867E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9B3A1B"/>
    <w:multiLevelType w:val="hybridMultilevel"/>
    <w:tmpl w:val="B992B4E0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6" w15:restartNumberingAfterBreak="0">
    <w:nsid w:val="2B230790"/>
    <w:multiLevelType w:val="multilevel"/>
    <w:tmpl w:val="8558FB0C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782376B"/>
    <w:multiLevelType w:val="hybridMultilevel"/>
    <w:tmpl w:val="69601F0A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8" w15:restartNumberingAfterBreak="0">
    <w:nsid w:val="3DC15B7A"/>
    <w:multiLevelType w:val="hybridMultilevel"/>
    <w:tmpl w:val="381E5BB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E20101F"/>
    <w:multiLevelType w:val="multilevel"/>
    <w:tmpl w:val="7912112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41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0" w15:restartNumberingAfterBreak="0">
    <w:nsid w:val="40E1479A"/>
    <w:multiLevelType w:val="hybridMultilevel"/>
    <w:tmpl w:val="43D23DC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D102F38"/>
    <w:multiLevelType w:val="hybridMultilevel"/>
    <w:tmpl w:val="524A7484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2" w15:restartNumberingAfterBreak="0">
    <w:nsid w:val="4EA273A0"/>
    <w:multiLevelType w:val="hybridMultilevel"/>
    <w:tmpl w:val="3ABA82C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EAD0B9F"/>
    <w:multiLevelType w:val="multilevel"/>
    <w:tmpl w:val="F2DEEFF6"/>
    <w:lvl w:ilvl="0">
      <w:start w:val="1"/>
      <w:numFmt w:val="bullet"/>
      <w:lvlText w:val=""/>
      <w:lvlJc w:val="left"/>
      <w:pPr>
        <w:ind w:left="2466" w:hanging="357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1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7" w:hanging="1800"/>
      </w:pPr>
      <w:rPr>
        <w:rFonts w:hint="default"/>
      </w:rPr>
    </w:lvl>
  </w:abstractNum>
  <w:abstractNum w:abstractNumId="14" w15:restartNumberingAfterBreak="0">
    <w:nsid w:val="689F7B1C"/>
    <w:multiLevelType w:val="hybridMultilevel"/>
    <w:tmpl w:val="78EEE79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1E5071"/>
    <w:multiLevelType w:val="multilevel"/>
    <w:tmpl w:val="1C16E7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1F64C9F"/>
    <w:multiLevelType w:val="hybridMultilevel"/>
    <w:tmpl w:val="8E9C841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7C3533E"/>
    <w:multiLevelType w:val="hybridMultilevel"/>
    <w:tmpl w:val="49F21D4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ED04E89"/>
    <w:multiLevelType w:val="hybridMultilevel"/>
    <w:tmpl w:val="2C588A08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8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16"/>
  </w:num>
  <w:num w:numId="15">
    <w:abstractNumId w:val="10"/>
  </w:num>
  <w:num w:numId="16">
    <w:abstractNumId w:val="17"/>
  </w:num>
  <w:num w:numId="17">
    <w:abstractNumId w:val="1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59"/>
    <w:rsid w:val="000115F1"/>
    <w:rsid w:val="000611C1"/>
    <w:rsid w:val="00064B9F"/>
    <w:rsid w:val="001F4F44"/>
    <w:rsid w:val="00332E29"/>
    <w:rsid w:val="003A79AC"/>
    <w:rsid w:val="003B7D22"/>
    <w:rsid w:val="003D59D8"/>
    <w:rsid w:val="00531953"/>
    <w:rsid w:val="005719FB"/>
    <w:rsid w:val="006A79E1"/>
    <w:rsid w:val="007B095D"/>
    <w:rsid w:val="007D75BD"/>
    <w:rsid w:val="007E3A7F"/>
    <w:rsid w:val="008320FC"/>
    <w:rsid w:val="008E1FC2"/>
    <w:rsid w:val="00A648EC"/>
    <w:rsid w:val="00AE74A2"/>
    <w:rsid w:val="00B256BD"/>
    <w:rsid w:val="00B7734A"/>
    <w:rsid w:val="00BF5965"/>
    <w:rsid w:val="00C74AE4"/>
    <w:rsid w:val="00D11A37"/>
    <w:rsid w:val="00D7531A"/>
    <w:rsid w:val="00DD6D16"/>
    <w:rsid w:val="00E47656"/>
    <w:rsid w:val="00E645C2"/>
    <w:rsid w:val="00E97EB6"/>
    <w:rsid w:val="00EB55F6"/>
    <w:rsid w:val="00F27568"/>
    <w:rsid w:val="00F53A59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17ED21F3"/>
  <w15:chartTrackingRefBased/>
  <w15:docId w15:val="{0458B3EC-8BC4-49E8-A645-BA03251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A59"/>
  </w:style>
  <w:style w:type="paragraph" w:styleId="Stopka">
    <w:name w:val="footer"/>
    <w:basedOn w:val="Normalny"/>
    <w:link w:val="Stopka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A59"/>
  </w:style>
  <w:style w:type="character" w:styleId="Hipercze">
    <w:name w:val="Hyperlink"/>
    <w:basedOn w:val="Domylnaczcionkaakapitu"/>
    <w:uiPriority w:val="99"/>
    <w:unhideWhenUsed/>
    <w:rsid w:val="00AE74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D22"/>
    <w:rPr>
      <w:color w:val="605E5C"/>
      <w:shd w:val="clear" w:color="auto" w:fill="E1DFDD"/>
    </w:rPr>
  </w:style>
  <w:style w:type="paragraph" w:customStyle="1" w:styleId="Default">
    <w:name w:val="Default"/>
    <w:rsid w:val="00BF5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9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34"/>
    <w:qFormat/>
    <w:rsid w:val="00A648EC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648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/spotkania-biznesowe-szkolenia-konferencje-i-kongres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wer@abm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jestradwokatow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jestrradcow.pl/Home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.gov.pl/strony/o-programie/promocja/zasady-promocji-i-oznakowania-projektow-w-programie/zasady-promocji-i-oznakowania-projektow-w-programie-umowy-podpisane-od-1-stycznia-2018-rok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kancelaria@ab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5003</Words>
  <Characters>30021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Szwugier</dc:creator>
  <cp:keywords/>
  <dc:description/>
  <cp:lastModifiedBy>Natalia Boguszewska</cp:lastModifiedBy>
  <cp:revision>15</cp:revision>
  <cp:lastPrinted>2020-05-18T08:29:00Z</cp:lastPrinted>
  <dcterms:created xsi:type="dcterms:W3CDTF">2021-04-28T10:52:00Z</dcterms:created>
  <dcterms:modified xsi:type="dcterms:W3CDTF">2021-09-23T07:51:00Z</dcterms:modified>
</cp:coreProperties>
</file>